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3951E" w14:textId="77777777" w:rsidR="00207AD1" w:rsidRDefault="00207AD1">
      <w:pPr>
        <w:pStyle w:val="Heading1"/>
        <w:rPr>
          <w:rFonts w:ascii="Calibri" w:eastAsia="Times New Roman" w:hAnsi="Calibri" w:cs="Calibri"/>
          <w:lang w:val="de-DE"/>
        </w:rPr>
      </w:pPr>
      <w:r>
        <w:rPr>
          <w:rFonts w:ascii="Calibri" w:eastAsia="Times New Roman" w:hAnsi="Calibri" w:cs="Calibri"/>
          <w:lang w:val="de-DE"/>
        </w:rPr>
        <w:t>Mustafa Aksu</w:t>
      </w:r>
    </w:p>
    <w:p w14:paraId="51CC959C" w14:textId="77777777" w:rsidR="00207AD1" w:rsidRDefault="00207AD1">
      <w:pPr>
        <w:divId w:val="1405028344"/>
        <w:rPr>
          <w:rFonts w:ascii="Calibri" w:eastAsia="Times New Roman" w:hAnsi="Calibri" w:cs="Calibri"/>
          <w:b/>
          <w:bCs/>
          <w:color w:val="1F5FAE"/>
          <w:sz w:val="21"/>
          <w:szCs w:val="21"/>
          <w:lang w:val="de-DE"/>
        </w:rPr>
      </w:pPr>
      <w:r>
        <w:rPr>
          <w:rFonts w:ascii="Calibri" w:eastAsia="Times New Roman" w:hAnsi="Calibri" w:cs="Calibri"/>
          <w:b/>
          <w:bCs/>
          <w:color w:val="1F5FAE"/>
          <w:sz w:val="21"/>
          <w:szCs w:val="21"/>
          <w:lang w:val="de-DE"/>
        </w:rPr>
        <w:t>Salesforce Revenue Cloud Developer — Quote-to-Cash · RLM · CPQ · CLM · mit Agentforce integriert</w:t>
      </w:r>
    </w:p>
    <w:p w14:paraId="3094694D" w14:textId="77777777" w:rsidR="00207AD1" w:rsidRDefault="00207AD1">
      <w:pPr>
        <w:divId w:val="884680366"/>
        <w:rPr>
          <w:rFonts w:ascii="Calibri" w:eastAsia="Times New Roman" w:hAnsi="Calibri" w:cs="Calibri"/>
          <w:color w:val="4A5566"/>
          <w:sz w:val="17"/>
          <w:szCs w:val="17"/>
          <w:lang w:val="de-DE"/>
        </w:rPr>
      </w:pPr>
      <w:r>
        <w:rPr>
          <w:rFonts w:ascii="Calibri" w:eastAsia="Times New Roman" w:hAnsi="Calibri" w:cs="Calibri"/>
          <w:color w:val="4A5566"/>
          <w:sz w:val="17"/>
          <w:szCs w:val="17"/>
          <w:lang w:val="de-DE"/>
        </w:rPr>
        <w:t>Umzugsbereit für Deutschland / DACH · Englisch (Arbeitssprache) · Deutsch B1 · Türkisch (Muttersprache)</w:t>
      </w:r>
    </w:p>
    <w:p w14:paraId="48986A77" w14:textId="77777777" w:rsidR="00207AD1" w:rsidRDefault="00207AD1">
      <w:pPr>
        <w:divId w:val="2089225931"/>
        <w:rPr>
          <w:rFonts w:ascii="Calibri" w:eastAsia="Times New Roman" w:hAnsi="Calibri" w:cs="Calibri"/>
          <w:color w:val="1B2330"/>
          <w:sz w:val="17"/>
          <w:szCs w:val="17"/>
          <w:lang w:val="de-DE"/>
        </w:rPr>
      </w:pPr>
      <w:hyperlink r:id="rId5" w:history="1">
        <w:r>
          <w:rPr>
            <w:rStyle w:val="Hyperlink"/>
            <w:rFonts w:ascii="Calibri" w:eastAsia="Times New Roman" w:hAnsi="Calibri" w:cs="Calibri"/>
            <w:sz w:val="17"/>
            <w:szCs w:val="17"/>
            <w:lang w:val="de-DE"/>
          </w:rPr>
          <w:t>mustafa.aksu@mustafaaksu.dev</w:t>
        </w:r>
      </w:hyperlink>
      <w:r>
        <w:rPr>
          <w:rFonts w:ascii="Calibri" w:eastAsia="Times New Roman" w:hAnsi="Calibri" w:cs="Calibri"/>
          <w:color w:val="1B2330"/>
          <w:sz w:val="17"/>
          <w:szCs w:val="17"/>
          <w:lang w:val="de-DE"/>
        </w:rPr>
        <w:t xml:space="preserve"> · </w:t>
      </w:r>
      <w:hyperlink r:id="rId6" w:history="1">
        <w:r>
          <w:rPr>
            <w:rStyle w:val="Hyperlink"/>
            <w:rFonts w:ascii="Calibri" w:eastAsia="Times New Roman" w:hAnsi="Calibri" w:cs="Calibri"/>
            <w:sz w:val="17"/>
            <w:szCs w:val="17"/>
            <w:lang w:val="de-DE"/>
          </w:rPr>
          <w:t>mustafaaksu.dev</w:t>
        </w:r>
      </w:hyperlink>
      <w:r>
        <w:rPr>
          <w:rFonts w:ascii="Calibri" w:eastAsia="Times New Roman" w:hAnsi="Calibri" w:cs="Calibri"/>
          <w:color w:val="1B2330"/>
          <w:sz w:val="17"/>
          <w:szCs w:val="17"/>
          <w:lang w:val="de-DE"/>
        </w:rPr>
        <w:t xml:space="preserve"> · </w:t>
      </w:r>
      <w:hyperlink r:id="rId7" w:history="1">
        <w:r>
          <w:rPr>
            <w:rStyle w:val="Hyperlink"/>
            <w:rFonts w:ascii="Calibri" w:eastAsia="Times New Roman" w:hAnsi="Calibri" w:cs="Calibri"/>
            <w:sz w:val="17"/>
            <w:szCs w:val="17"/>
            <w:lang w:val="de-DE"/>
          </w:rPr>
          <w:t>linkedin.com/in/salesforcewithmaksu</w:t>
        </w:r>
      </w:hyperlink>
      <w:r>
        <w:rPr>
          <w:rFonts w:ascii="Calibri" w:eastAsia="Times New Roman" w:hAnsi="Calibri" w:cs="Calibri"/>
          <w:color w:val="1B2330"/>
          <w:sz w:val="17"/>
          <w:szCs w:val="17"/>
          <w:lang w:val="de-DE"/>
        </w:rPr>
        <w:t xml:space="preserve"> · </w:t>
      </w:r>
      <w:hyperlink r:id="rId8" w:history="1">
        <w:r>
          <w:rPr>
            <w:rStyle w:val="Hyperlink"/>
            <w:rFonts w:ascii="Calibri" w:eastAsia="Times New Roman" w:hAnsi="Calibri" w:cs="Calibri"/>
            <w:sz w:val="17"/>
            <w:szCs w:val="17"/>
            <w:lang w:val="de-DE"/>
          </w:rPr>
          <w:t>github.com/aksumustafa1625</w:t>
        </w:r>
      </w:hyperlink>
      <w:r>
        <w:rPr>
          <w:rFonts w:ascii="Calibri" w:eastAsia="Times New Roman" w:hAnsi="Calibri" w:cs="Calibri"/>
          <w:color w:val="1B2330"/>
          <w:sz w:val="17"/>
          <w:szCs w:val="17"/>
          <w:lang w:val="de-DE"/>
        </w:rPr>
        <w:t xml:space="preserve"> · Trailhead: </w:t>
      </w:r>
      <w:hyperlink r:id="rId9" w:history="1">
        <w:r>
          <w:rPr>
            <w:rStyle w:val="Hyperlink"/>
            <w:rFonts w:ascii="Calibri" w:eastAsia="Times New Roman" w:hAnsi="Calibri" w:cs="Calibri"/>
            <w:sz w:val="17"/>
            <w:szCs w:val="17"/>
            <w:lang w:val="de-DE"/>
          </w:rPr>
          <w:t>aksumustafa16</w:t>
        </w:r>
      </w:hyperlink>
      <w:r>
        <w:rPr>
          <w:rFonts w:ascii="Calibri" w:eastAsia="Times New Roman" w:hAnsi="Calibri" w:cs="Calibri"/>
          <w:color w:val="1B2330"/>
          <w:sz w:val="17"/>
          <w:szCs w:val="17"/>
          <w:lang w:val="de-DE"/>
        </w:rPr>
        <w:t xml:space="preserve"> (Five Star Ranger)</w:t>
      </w:r>
    </w:p>
    <w:p w14:paraId="1A39399D" w14:textId="77777777" w:rsidR="00207AD1" w:rsidRDefault="00207AD1">
      <w:pPr>
        <w:pStyle w:val="Heading2"/>
        <w:rPr>
          <w:rFonts w:ascii="Calibri" w:eastAsia="Times New Roman" w:hAnsi="Calibri" w:cs="Calibri"/>
          <w:lang w:val="de-DE"/>
        </w:rPr>
      </w:pPr>
      <w:r>
        <w:rPr>
          <w:rFonts w:ascii="Calibri" w:eastAsia="Times New Roman" w:hAnsi="Calibri" w:cs="Calibri"/>
          <w:lang w:val="de-DE"/>
        </w:rPr>
        <w:t>Profil</w:t>
      </w:r>
    </w:p>
    <w:p w14:paraId="20640278" w14:textId="77777777" w:rsidR="00207AD1" w:rsidRDefault="00207AD1">
      <w:pPr>
        <w:pStyle w:val="NormalWeb"/>
        <w:rPr>
          <w:rFonts w:ascii="Calibri" w:hAnsi="Calibri" w:cs="Calibri"/>
          <w:color w:val="1B2330"/>
          <w:sz w:val="18"/>
          <w:szCs w:val="18"/>
          <w:lang w:val="de-DE"/>
        </w:rPr>
      </w:pPr>
      <w:r>
        <w:rPr>
          <w:rFonts w:ascii="Calibri" w:hAnsi="Calibri" w:cs="Calibri"/>
          <w:color w:val="1B2330"/>
          <w:sz w:val="18"/>
          <w:szCs w:val="18"/>
          <w:lang w:val="de-DE"/>
        </w:rPr>
        <w:t xml:space="preserve">Salesforce-Revenue-Cloud-Entwickler und registrierter Salesforce-ISV-Partner mit MSc in Computer Software Engineering. Zertifiziert als CPQ Administrator, Industries CPQ Developer, OmniStudio Developer und Consultant, Platform Developer I und II, Agentforce Specialist, Administrator und Platform App Builder. Mein Kern ist </w:t>
      </w:r>
      <w:r>
        <w:rPr>
          <w:rFonts w:ascii="Calibri" w:hAnsi="Calibri" w:cs="Calibri"/>
          <w:b/>
          <w:bCs/>
          <w:color w:val="1B2330"/>
          <w:sz w:val="18"/>
          <w:szCs w:val="18"/>
          <w:lang w:val="de-DE"/>
        </w:rPr>
        <w:t>Quote-to-Cash auf Revenue Cloud</w:t>
      </w:r>
      <w:r>
        <w:rPr>
          <w:rFonts w:ascii="Calibri" w:hAnsi="Calibri" w:cs="Calibri"/>
          <w:color w:val="1B2330"/>
          <w:sz w:val="18"/>
          <w:szCs w:val="18"/>
          <w:lang w:val="de-DE"/>
        </w:rPr>
        <w:t xml:space="preserve">: Produktkatalog, Qualifizierung, Konfiguration, Pricing, Angebote, Freigaben und Verträge auf Revenue Lifecycle Management, CLM und Industries CPQ — und </w:t>
      </w:r>
      <w:r>
        <w:rPr>
          <w:rFonts w:ascii="Calibri" w:hAnsi="Calibri" w:cs="Calibri"/>
          <w:b/>
          <w:bCs/>
          <w:color w:val="1B2330"/>
          <w:sz w:val="18"/>
          <w:szCs w:val="18"/>
          <w:lang w:val="de-DE"/>
        </w:rPr>
        <w:t>die Integrationen, die einen Auftrag weitertragen</w:t>
      </w:r>
      <w:r>
        <w:rPr>
          <w:rFonts w:ascii="Calibri" w:hAnsi="Calibri" w:cs="Calibri"/>
          <w:color w:val="1B2330"/>
          <w:sz w:val="18"/>
          <w:szCs w:val="18"/>
          <w:lang w:val="de-DE"/>
        </w:rPr>
        <w:t xml:space="preserve">: SAP S/4HANA OData, DATEV, CAMT.053-Kontoauszüge, Zahlungen und E-Signatur, über Apex und MuleSoft. Darauf baue ich </w:t>
      </w:r>
      <w:r>
        <w:rPr>
          <w:rFonts w:ascii="Calibri" w:hAnsi="Calibri" w:cs="Calibri"/>
          <w:b/>
          <w:bCs/>
          <w:color w:val="1B2330"/>
          <w:sz w:val="18"/>
          <w:szCs w:val="18"/>
          <w:lang w:val="de-DE"/>
        </w:rPr>
        <w:t>Agentforce</w:t>
      </w:r>
      <w:r>
        <w:rPr>
          <w:rFonts w:ascii="Calibri" w:hAnsi="Calibri" w:cs="Calibri"/>
          <w:color w:val="1B2330"/>
          <w:sz w:val="18"/>
          <w:szCs w:val="18"/>
          <w:lang w:val="de-DE"/>
        </w:rPr>
        <w:t xml:space="preserve">: Agenten, die auf den eigenen Daten der Org gegroundet sind und über Apex handeln, einen Deal-Builder in natürlicher Sprache in meinem eigenen RLM-Package und Apex als MCP-Tools für Sprachmodelle. Eine Regel zieht sich durch alles: </w:t>
      </w:r>
      <w:r>
        <w:rPr>
          <w:rFonts w:ascii="Calibri" w:hAnsi="Calibri" w:cs="Calibri"/>
          <w:b/>
          <w:bCs/>
          <w:color w:val="1B2330"/>
          <w:sz w:val="18"/>
          <w:szCs w:val="18"/>
          <w:lang w:val="de-DE"/>
        </w:rPr>
        <w:t>Das Modell erkennt die Absicht, der Code setzt die Zahlen.</w:t>
      </w:r>
      <w:r>
        <w:rPr>
          <w:rFonts w:ascii="Calibri" w:hAnsi="Calibri" w:cs="Calibri"/>
          <w:color w:val="1B2330"/>
          <w:sz w:val="18"/>
          <w:szCs w:val="18"/>
          <w:lang w:val="de-DE"/>
        </w:rPr>
        <w:t xml:space="preserve"> Jede Angabe unten kann ich im Screenshare an</w:t>
      </w:r>
      <w:r>
        <w:rPr>
          <w:rFonts w:ascii="Calibri" w:hAnsi="Calibri" w:cs="Calibri"/>
          <w:color w:val="1B2330"/>
          <w:sz w:val="18"/>
          <w:szCs w:val="18"/>
          <w:lang w:val="de-DE"/>
        </w:rPr>
        <w:t xml:space="preserve"> der Datei zeigen.</w:t>
      </w:r>
    </w:p>
    <w:p w14:paraId="37BF858B" w14:textId="77777777" w:rsidR="00207AD1" w:rsidRDefault="00207AD1">
      <w:pPr>
        <w:pStyle w:val="Heading2"/>
        <w:rPr>
          <w:rFonts w:ascii="Calibri" w:eastAsia="Times New Roman" w:hAnsi="Calibri" w:cs="Calibri"/>
          <w:lang w:val="de-DE"/>
        </w:rPr>
      </w:pPr>
      <w:r>
        <w:rPr>
          <w:rFonts w:ascii="Calibri" w:eastAsia="Times New Roman" w:hAnsi="Calibri" w:cs="Calibri"/>
          <w:lang w:val="de-DE"/>
        </w:rPr>
        <w:t>Salesforce-Projekte</w:t>
      </w:r>
    </w:p>
    <w:p w14:paraId="4972F811" w14:textId="77777777" w:rsidR="00207AD1" w:rsidRDefault="00207AD1">
      <w:pPr>
        <w:pStyle w:val="Heading3"/>
        <w:divId w:val="392436313"/>
        <w:rPr>
          <w:rFonts w:ascii="Calibri" w:eastAsia="Times New Roman" w:hAnsi="Calibri" w:cs="Calibri"/>
          <w:lang w:val="de-DE"/>
        </w:rPr>
      </w:pPr>
      <w:r>
        <w:rPr>
          <w:rFonts w:ascii="Calibri" w:eastAsia="Times New Roman" w:hAnsi="Calibri" w:cs="Calibri"/>
          <w:lang w:val="de-DE"/>
        </w:rPr>
        <w:t>TechnoStore — Quote-to-Cash auf Salesforce Revenue Cloud, durchgängig integriert · 2025–26</w:t>
      </w:r>
    </w:p>
    <w:p w14:paraId="5AA38475" w14:textId="77777777" w:rsidR="00207AD1" w:rsidRDefault="00207AD1">
      <w:pPr>
        <w:pStyle w:val="note"/>
        <w:divId w:val="392436313"/>
        <w:rPr>
          <w:rFonts w:ascii="Calibri" w:hAnsi="Calibri" w:cs="Calibri"/>
          <w:sz w:val="18"/>
          <w:szCs w:val="18"/>
          <w:lang w:val="de-DE"/>
        </w:rPr>
      </w:pPr>
      <w:r>
        <w:rPr>
          <w:rFonts w:ascii="Calibri" w:hAnsi="Calibri" w:cs="Calibri"/>
          <w:sz w:val="18"/>
          <w:szCs w:val="18"/>
          <w:lang w:val="de-DE"/>
        </w:rPr>
        <w:t>Portfolio-Projekt in einer Developer Edition; die TechnoStore GmbH ist ein fiktiver DACH-B2B-Händler. Öffentliches Repository.</w:t>
      </w:r>
    </w:p>
    <w:p w14:paraId="4E1D6601" w14:textId="77777777" w:rsidR="00207AD1" w:rsidRDefault="00207AD1">
      <w:pPr>
        <w:numPr>
          <w:ilvl w:val="0"/>
          <w:numId w:val="1"/>
        </w:numPr>
        <w:spacing w:after="23"/>
        <w:divId w:val="1531215247"/>
        <w:rPr>
          <w:rFonts w:ascii="Calibri" w:eastAsia="Times New Roman" w:hAnsi="Calibri" w:cs="Calibri"/>
          <w:color w:val="1B2330"/>
          <w:sz w:val="18"/>
          <w:szCs w:val="18"/>
          <w:lang w:val="de-DE"/>
        </w:rPr>
      </w:pPr>
      <w:r>
        <w:rPr>
          <w:rFonts w:ascii="Calibri" w:eastAsia="Times New Roman" w:hAnsi="Calibri" w:cs="Calibri"/>
          <w:b/>
          <w:bCs/>
          <w:color w:val="1B2330"/>
          <w:sz w:val="18"/>
          <w:szCs w:val="18"/>
          <w:lang w:val="de-DE"/>
        </w:rPr>
        <w:t>Quote-to-Cash auf Revenue Cloud</w:t>
      </w:r>
      <w:r>
        <w:rPr>
          <w:rFonts w:ascii="Calibri" w:eastAsia="Times New Roman" w:hAnsi="Calibri" w:cs="Calibri"/>
          <w:color w:val="1B2330"/>
          <w:sz w:val="18"/>
          <w:szCs w:val="18"/>
          <w:lang w:val="de-DE"/>
        </w:rPr>
        <w:t xml:space="preserve"> (RLM + CLM + Industries CPQ), vom Angebot über Auftrag und Rechnung bis zur Zahlung: Expression Sets qualifizieren Produkte nach Kundensegment und Region vor Konfiguration und Pricing; gestufte Rabattfreigaben mit Schwellen in Custom Metadata und Genehmigern nach Rolle, nie nach Person; 29 aktive Flows. ADR-016/032/033 halten fest, wo die native RLM-Preisberechnung nicht durchlief — und warum.</w:t>
      </w:r>
    </w:p>
    <w:p w14:paraId="58DF049C" w14:textId="77777777" w:rsidR="00207AD1" w:rsidRDefault="00207AD1">
      <w:pPr>
        <w:numPr>
          <w:ilvl w:val="0"/>
          <w:numId w:val="1"/>
        </w:numPr>
        <w:spacing w:after="23"/>
        <w:divId w:val="1531215247"/>
        <w:rPr>
          <w:rFonts w:ascii="Calibri" w:eastAsia="Times New Roman" w:hAnsi="Calibri" w:cs="Calibri"/>
          <w:color w:val="1B2330"/>
          <w:sz w:val="18"/>
          <w:szCs w:val="18"/>
          <w:lang w:val="de-DE"/>
        </w:rPr>
      </w:pPr>
      <w:r>
        <w:rPr>
          <w:rFonts w:ascii="Calibri" w:eastAsia="Times New Roman" w:hAnsi="Calibri" w:cs="Calibri"/>
          <w:b/>
          <w:bCs/>
          <w:color w:val="1B2330"/>
          <w:sz w:val="18"/>
          <w:szCs w:val="18"/>
          <w:lang w:val="de-DE"/>
        </w:rPr>
        <w:t>SAP-S/4HANA-Schicht — 8 Apex-Klassen, jede mit eigenem Test:</w:t>
      </w:r>
      <w:r>
        <w:rPr>
          <w:rFonts w:ascii="Calibri" w:eastAsia="Times New Roman" w:hAnsi="Calibri" w:cs="Calibri"/>
          <w:color w:val="1B2330"/>
          <w:sz w:val="18"/>
          <w:szCs w:val="18"/>
          <w:lang w:val="de-DE"/>
        </w:rPr>
        <w:t xml:space="preserve"> OData-v2-Deep-Insert für Kundenaufträge mit X-CSRF-Token-Handshake, Stammdaten, ATP, </w:t>
      </w:r>
      <w:r>
        <w:rPr>
          <w:rFonts w:ascii="Calibri" w:eastAsia="Times New Roman" w:hAnsi="Calibri" w:cs="Calibri"/>
          <w:b/>
          <w:bCs/>
          <w:color w:val="1B2330"/>
          <w:sz w:val="18"/>
          <w:szCs w:val="18"/>
          <w:lang w:val="de-DE"/>
        </w:rPr>
        <w:t>CloudEvents-1.0</w:t>
      </w:r>
      <w:r>
        <w:rPr>
          <w:rFonts w:ascii="Calibri" w:eastAsia="Times New Roman" w:hAnsi="Calibri" w:cs="Calibri"/>
          <w:color w:val="1B2330"/>
          <w:sz w:val="18"/>
          <w:szCs w:val="18"/>
          <w:lang w:val="de-DE"/>
        </w:rPr>
        <w:t>-Empfänger. Gegen die Sandbox des SAP Business Accelerator Hub, nicht gegen einen lizenzierten Mandanten (ADR-029: ca. 10–15 h reine Konfigurationsumstellung).</w:t>
      </w:r>
    </w:p>
    <w:p w14:paraId="7EC0C31D" w14:textId="77777777" w:rsidR="00207AD1" w:rsidRDefault="00207AD1">
      <w:pPr>
        <w:numPr>
          <w:ilvl w:val="0"/>
          <w:numId w:val="1"/>
        </w:numPr>
        <w:spacing w:after="23"/>
        <w:divId w:val="1531215247"/>
        <w:rPr>
          <w:rFonts w:ascii="Calibri" w:eastAsia="Times New Roman" w:hAnsi="Calibri" w:cs="Calibri"/>
          <w:color w:val="1B2330"/>
          <w:sz w:val="18"/>
          <w:szCs w:val="18"/>
          <w:lang w:val="de-DE"/>
        </w:rPr>
      </w:pPr>
      <w:r>
        <w:rPr>
          <w:rFonts w:ascii="Calibri" w:eastAsia="Times New Roman" w:hAnsi="Calibri" w:cs="Calibri"/>
          <w:b/>
          <w:bCs/>
          <w:color w:val="1B2330"/>
          <w:sz w:val="18"/>
          <w:szCs w:val="18"/>
          <w:lang w:val="de-DE"/>
        </w:rPr>
        <w:t>Deutsches Finanzwesen:</w:t>
      </w:r>
      <w:r>
        <w:rPr>
          <w:rFonts w:ascii="Calibri" w:eastAsia="Times New Roman" w:hAnsi="Calibri" w:cs="Calibri"/>
          <w:color w:val="1B2330"/>
          <w:sz w:val="18"/>
          <w:szCs w:val="18"/>
          <w:lang w:val="de-DE"/>
        </w:rPr>
        <w:t xml:space="preserve"> DATEV-konformer </w:t>
      </w:r>
      <w:r>
        <w:rPr>
          <w:rFonts w:ascii="Calibri" w:eastAsia="Times New Roman" w:hAnsi="Calibri" w:cs="Calibri"/>
          <w:b/>
          <w:bCs/>
          <w:color w:val="1B2330"/>
          <w:sz w:val="18"/>
          <w:szCs w:val="18"/>
          <w:lang w:val="de-DE"/>
        </w:rPr>
        <w:t>EXTF-v700-/SKR04-Buchungsstapel</w:t>
      </w:r>
      <w:r>
        <w:rPr>
          <w:rFonts w:ascii="Calibri" w:eastAsia="Times New Roman" w:hAnsi="Calibri" w:cs="Calibri"/>
          <w:color w:val="1B2330"/>
          <w:sz w:val="18"/>
          <w:szCs w:val="18"/>
          <w:lang w:val="de-DE"/>
        </w:rPr>
        <w:t xml:space="preserve"> (Konto 4400, 19 % USt), eine </w:t>
      </w:r>
      <w:r>
        <w:rPr>
          <w:rFonts w:ascii="Calibri" w:eastAsia="Times New Roman" w:hAnsi="Calibri" w:cs="Calibri"/>
          <w:b/>
          <w:bCs/>
          <w:color w:val="1B2330"/>
          <w:sz w:val="18"/>
          <w:szCs w:val="18"/>
          <w:lang w:val="de-DE"/>
        </w:rPr>
        <w:t>produktive lexoffice-Anbindung</w:t>
      </w:r>
      <w:r>
        <w:rPr>
          <w:rFonts w:ascii="Calibri" w:eastAsia="Times New Roman" w:hAnsi="Calibri" w:cs="Calibri"/>
          <w:color w:val="1B2330"/>
          <w:sz w:val="18"/>
          <w:szCs w:val="18"/>
          <w:lang w:val="de-DE"/>
        </w:rPr>
        <w:t xml:space="preserve"> und ein </w:t>
      </w:r>
      <w:r>
        <w:rPr>
          <w:rFonts w:ascii="Calibri" w:eastAsia="Times New Roman" w:hAnsi="Calibri" w:cs="Calibri"/>
          <w:b/>
          <w:bCs/>
          <w:color w:val="1B2330"/>
          <w:sz w:val="18"/>
          <w:szCs w:val="18"/>
          <w:lang w:val="de-DE"/>
        </w:rPr>
        <w:t>CAMT.053-/ISO-20022</w:t>
      </w:r>
      <w:r>
        <w:rPr>
          <w:rFonts w:ascii="Calibri" w:eastAsia="Times New Roman" w:hAnsi="Calibri" w:cs="Calibri"/>
          <w:color w:val="1B2330"/>
          <w:sz w:val="18"/>
          <w:szCs w:val="18"/>
          <w:lang w:val="de-DE"/>
        </w:rPr>
        <w:t>-Parser für den Abgleich offener Rechnungen — getestet mit Musterauszügen, ohne Live-Bankanbindung.</w:t>
      </w:r>
    </w:p>
    <w:p w14:paraId="440A25B2" w14:textId="77777777" w:rsidR="00207AD1" w:rsidRDefault="00207AD1">
      <w:pPr>
        <w:numPr>
          <w:ilvl w:val="0"/>
          <w:numId w:val="1"/>
        </w:numPr>
        <w:spacing w:after="23"/>
        <w:divId w:val="1531215247"/>
        <w:rPr>
          <w:rFonts w:ascii="Calibri" w:eastAsia="Times New Roman" w:hAnsi="Calibri" w:cs="Calibri"/>
          <w:color w:val="1B2330"/>
          <w:sz w:val="18"/>
          <w:szCs w:val="18"/>
          <w:lang w:val="de-DE"/>
        </w:rPr>
      </w:pPr>
      <w:r>
        <w:rPr>
          <w:rFonts w:ascii="Calibri" w:eastAsia="Times New Roman" w:hAnsi="Calibri" w:cs="Calibri"/>
          <w:b/>
          <w:bCs/>
          <w:color w:val="1B2330"/>
          <w:sz w:val="18"/>
          <w:szCs w:val="18"/>
          <w:lang w:val="de-DE"/>
        </w:rPr>
        <w:t>Neun aktive Anbindungen an externe Systeme</w:t>
      </w:r>
      <w:r>
        <w:rPr>
          <w:rFonts w:ascii="Calibri" w:eastAsia="Times New Roman" w:hAnsi="Calibri" w:cs="Calibri"/>
          <w:color w:val="1B2330"/>
          <w:sz w:val="18"/>
          <w:szCs w:val="18"/>
          <w:lang w:val="de-DE"/>
        </w:rPr>
        <w:t>, jede an Datensätzen in der Org nachgewiesen: SAP S/4HANA, Stripe, DocuSign, JIRA, Slack, Notion, Sendcloud, lexoffice und Twilio — über drei bewusst gewählte Wege (direkt aus Apex, über MuleSoft, oder dateibasiert, wo der Anbieter keine API anbietet). DATEV ist der Dateiweg aus Notwendigkeit: API-Zugang gibt es nur über einen bestehenden Mandanten oder Steuerberater.</w:t>
      </w:r>
    </w:p>
    <w:p w14:paraId="545508BC" w14:textId="77777777" w:rsidR="00207AD1" w:rsidRDefault="00207AD1">
      <w:pPr>
        <w:numPr>
          <w:ilvl w:val="0"/>
          <w:numId w:val="1"/>
        </w:numPr>
        <w:spacing w:after="23"/>
        <w:divId w:val="1531215247"/>
        <w:rPr>
          <w:rFonts w:ascii="Calibri" w:eastAsia="Times New Roman" w:hAnsi="Calibri" w:cs="Calibri"/>
          <w:color w:val="1B2330"/>
          <w:sz w:val="18"/>
          <w:szCs w:val="18"/>
          <w:lang w:val="de-DE"/>
        </w:rPr>
      </w:pPr>
      <w:r>
        <w:rPr>
          <w:rFonts w:ascii="Calibri" w:eastAsia="Times New Roman" w:hAnsi="Calibri" w:cs="Calibri"/>
          <w:b/>
          <w:bCs/>
          <w:color w:val="1B2330"/>
          <w:sz w:val="18"/>
          <w:szCs w:val="18"/>
          <w:lang w:val="de-DE"/>
        </w:rPr>
        <w:t>113 Apex-Dateien</w:t>
      </w:r>
      <w:r>
        <w:rPr>
          <w:rFonts w:ascii="Calibri" w:eastAsia="Times New Roman" w:hAnsi="Calibri" w:cs="Calibri"/>
          <w:color w:val="1B2330"/>
          <w:sz w:val="18"/>
          <w:szCs w:val="18"/>
          <w:lang w:val="de-DE"/>
        </w:rPr>
        <w:t xml:space="preserve"> mit </w:t>
      </w:r>
      <w:r>
        <w:rPr>
          <w:rStyle w:val="HTMLCode"/>
          <w:color w:val="1B2330"/>
          <w:lang w:val="de-DE"/>
        </w:rPr>
        <w:t>HttpCalloutMock</w:t>
      </w:r>
      <w:r>
        <w:rPr>
          <w:rFonts w:ascii="Calibri" w:eastAsia="Times New Roman" w:hAnsi="Calibri" w:cs="Calibri"/>
          <w:color w:val="1B2330"/>
          <w:sz w:val="18"/>
          <w:szCs w:val="18"/>
          <w:lang w:val="de-DE"/>
        </w:rPr>
        <w:t xml:space="preserve"> für jeden getesteten Callout; 33 ADRs, ein arc42-Blueprint und eine </w:t>
      </w:r>
      <w:r>
        <w:rPr>
          <w:rStyle w:val="HTMLCode"/>
          <w:color w:val="1B2330"/>
          <w:lang w:val="de-DE"/>
        </w:rPr>
        <w:t>SECURITY.md</w:t>
      </w:r>
      <w:r>
        <w:rPr>
          <w:rFonts w:ascii="Calibri" w:eastAsia="Times New Roman" w:hAnsi="Calibri" w:cs="Calibri"/>
          <w:color w:val="1B2330"/>
          <w:sz w:val="18"/>
          <w:szCs w:val="18"/>
          <w:lang w:val="de-DE"/>
        </w:rPr>
        <w:t>, die festhält, dass 113 von 113 Apex-Dateien vor v67 liegen — CRUD/FLS also nicht in Apex erzwungen wird — und eine frühere eigene Falschaussage ausdrücklich zurücknimmt.</w:t>
      </w:r>
    </w:p>
    <w:p w14:paraId="5D3D03CA" w14:textId="77777777" w:rsidR="00207AD1" w:rsidRDefault="00207AD1">
      <w:pPr>
        <w:pStyle w:val="Heading3"/>
        <w:divId w:val="336033941"/>
        <w:rPr>
          <w:rFonts w:ascii="Calibri" w:eastAsia="Times New Roman" w:hAnsi="Calibri" w:cs="Calibri"/>
          <w:lang w:val="de-DE"/>
        </w:rPr>
      </w:pPr>
      <w:r>
        <w:rPr>
          <w:rFonts w:ascii="Calibri" w:eastAsia="Times New Roman" w:hAnsi="Calibri" w:cs="Calibri"/>
          <w:lang w:val="de-DE"/>
        </w:rPr>
        <w:t>Configra — mein eigenes Revenue-Cloud-Produkt, ein Managed-2GP-Package auf RLM · 2026 – heute</w:t>
      </w:r>
    </w:p>
    <w:p w14:paraId="08C74104" w14:textId="77777777" w:rsidR="00207AD1" w:rsidRDefault="00207AD1">
      <w:pPr>
        <w:pStyle w:val="note"/>
        <w:divId w:val="336033941"/>
        <w:rPr>
          <w:rFonts w:ascii="Calibri" w:hAnsi="Calibri" w:cs="Calibri"/>
          <w:sz w:val="18"/>
          <w:szCs w:val="18"/>
          <w:lang w:val="de-DE"/>
        </w:rPr>
      </w:pPr>
      <w:r>
        <w:rPr>
          <w:rFonts w:ascii="Calibri" w:hAnsi="Calibri" w:cs="Calibri"/>
          <w:sz w:val="18"/>
          <w:szCs w:val="18"/>
          <w:lang w:val="de-DE"/>
        </w:rPr>
        <w:t xml:space="preserve">Salesforce-ISV-Partner; registrierter Namespace </w:t>
      </w:r>
      <w:r>
        <w:rPr>
          <w:rStyle w:val="HTMLCode"/>
          <w:lang w:val="de-DE"/>
        </w:rPr>
        <w:t>configra</w:t>
      </w:r>
      <w:r>
        <w:rPr>
          <w:rFonts w:ascii="Calibri" w:hAnsi="Calibri" w:cs="Calibri"/>
          <w:sz w:val="18"/>
          <w:szCs w:val="18"/>
          <w:lang w:val="de-DE"/>
        </w:rPr>
        <w:t>; Code privat.</w:t>
      </w:r>
    </w:p>
    <w:p w14:paraId="5F15E7C1" w14:textId="77777777" w:rsidR="00207AD1" w:rsidRDefault="00207AD1">
      <w:pPr>
        <w:numPr>
          <w:ilvl w:val="0"/>
          <w:numId w:val="2"/>
        </w:numPr>
        <w:spacing w:after="23"/>
        <w:divId w:val="208222142"/>
        <w:rPr>
          <w:rFonts w:ascii="Calibri" w:eastAsia="Times New Roman" w:hAnsi="Calibri" w:cs="Calibri"/>
          <w:color w:val="1B2330"/>
          <w:sz w:val="18"/>
          <w:szCs w:val="18"/>
          <w:lang w:val="de-DE"/>
        </w:rPr>
      </w:pPr>
      <w:r>
        <w:rPr>
          <w:rFonts w:ascii="Calibri" w:eastAsia="Times New Roman" w:hAnsi="Calibri" w:cs="Calibri"/>
          <w:b/>
          <w:bCs/>
          <w:color w:val="1B2330"/>
          <w:sz w:val="18"/>
          <w:szCs w:val="18"/>
          <w:lang w:val="de-DE"/>
        </w:rPr>
        <w:t>Das Problem:</w:t>
      </w:r>
      <w:r>
        <w:rPr>
          <w:rFonts w:ascii="Calibri" w:eastAsia="Times New Roman" w:hAnsi="Calibri" w:cs="Calibri"/>
          <w:color w:val="1B2330"/>
          <w:sz w:val="18"/>
          <w:szCs w:val="18"/>
          <w:lang w:val="de-DE"/>
        </w:rPr>
        <w:t xml:space="preserve"> Ein Vertriebsmitarbeiter braucht im laufenden Kundengespräch ein Produkt oder Bundle, das der Katalog nicht führt. Configra baut es aus einer Beschreibung in natürlicher Sprache direkt im Angebot, ohne den Katalog anzufassen. Laufende Konfigurationen liegen in sitzungsbezogenen Objekten, die beim Abschluss geprüft, zu echten Angebotspositionen gemacht und </w:t>
      </w:r>
      <w:r>
        <w:rPr>
          <w:rFonts w:ascii="Calibri" w:eastAsia="Times New Roman" w:hAnsi="Calibri" w:cs="Calibri"/>
          <w:b/>
          <w:bCs/>
          <w:color w:val="1B2330"/>
          <w:sz w:val="18"/>
          <w:szCs w:val="18"/>
          <w:lang w:val="de-DE"/>
        </w:rPr>
        <w:t>gelöscht, nicht archiviert</w:t>
      </w:r>
      <w:r>
        <w:rPr>
          <w:rFonts w:ascii="Calibri" w:eastAsia="Times New Roman" w:hAnsi="Calibri" w:cs="Calibri"/>
          <w:color w:val="1B2330"/>
          <w:sz w:val="18"/>
          <w:szCs w:val="18"/>
          <w:lang w:val="de-DE"/>
        </w:rPr>
        <w:t xml:space="preserve"> werden; ein einzelnes Platzhalterprodukt gibt dem RLM-Konfigurator seinen Katalog-Anker.</w:t>
      </w:r>
    </w:p>
    <w:p w14:paraId="6668C4E2" w14:textId="77777777" w:rsidR="00207AD1" w:rsidRDefault="00207AD1">
      <w:pPr>
        <w:numPr>
          <w:ilvl w:val="0"/>
          <w:numId w:val="2"/>
        </w:numPr>
        <w:spacing w:after="23"/>
        <w:divId w:val="208222142"/>
        <w:rPr>
          <w:rFonts w:ascii="Calibri" w:eastAsia="Times New Roman" w:hAnsi="Calibri" w:cs="Calibri"/>
          <w:color w:val="1B2330"/>
          <w:sz w:val="18"/>
          <w:szCs w:val="18"/>
          <w:lang w:val="de-DE"/>
        </w:rPr>
      </w:pPr>
      <w:r>
        <w:rPr>
          <w:rFonts w:ascii="Calibri" w:eastAsia="Times New Roman" w:hAnsi="Calibri" w:cs="Calibri"/>
          <w:b/>
          <w:bCs/>
          <w:color w:val="1B2330"/>
          <w:sz w:val="18"/>
          <w:szCs w:val="18"/>
          <w:lang w:val="de-DE"/>
        </w:rPr>
        <w:t>Der Katalog wächst nur, wenn das Geschäft es verdient hat:</w:t>
      </w:r>
      <w:r>
        <w:rPr>
          <w:rFonts w:ascii="Calibri" w:eastAsia="Times New Roman" w:hAnsi="Calibri" w:cs="Calibri"/>
          <w:color w:val="1B2330"/>
          <w:sz w:val="18"/>
          <w:szCs w:val="18"/>
          <w:lang w:val="de-DE"/>
        </w:rPr>
        <w:t xml:space="preserve"> Wiederkehrende Freitext-Positionen werden als Kataloglücken erkannt, und ein bewährtes Muster wird in einem Schritt zu einem echten Produkt mit Bundle-Struktur, Selling Model und Preisbucheintrag. Auswertungen über Vertriebsmitarbeiter hinweg passieren vorher eine k-Anonymitätsschwelle.</w:t>
      </w:r>
    </w:p>
    <w:p w14:paraId="5C55EFE9" w14:textId="77777777" w:rsidR="00207AD1" w:rsidRDefault="00207AD1">
      <w:pPr>
        <w:numPr>
          <w:ilvl w:val="0"/>
          <w:numId w:val="2"/>
        </w:numPr>
        <w:spacing w:after="23"/>
        <w:divId w:val="208222142"/>
        <w:rPr>
          <w:rFonts w:ascii="Calibri" w:eastAsia="Times New Roman" w:hAnsi="Calibri" w:cs="Calibri"/>
          <w:color w:val="1B2330"/>
          <w:sz w:val="18"/>
          <w:szCs w:val="18"/>
          <w:lang w:val="de-DE"/>
        </w:rPr>
      </w:pPr>
      <w:r>
        <w:rPr>
          <w:rFonts w:ascii="Calibri" w:eastAsia="Times New Roman" w:hAnsi="Calibri" w:cs="Calibri"/>
          <w:b/>
          <w:bCs/>
          <w:color w:val="1B2330"/>
          <w:sz w:val="18"/>
          <w:szCs w:val="18"/>
          <w:lang w:val="de-DE"/>
        </w:rPr>
        <w:t>KI, die nie Geld anfasst:</w:t>
      </w:r>
      <w:r>
        <w:rPr>
          <w:rFonts w:ascii="Calibri" w:eastAsia="Times New Roman" w:hAnsi="Calibri" w:cs="Calibri"/>
          <w:color w:val="1B2330"/>
          <w:sz w:val="18"/>
          <w:szCs w:val="18"/>
          <w:lang w:val="de-DE"/>
        </w:rPr>
        <w:t xml:space="preserve"> Ein Deal-Builder in natürlicher Sprache auf der nativen Einstein Models API (</w:t>
      </w:r>
      <w:r>
        <w:rPr>
          <w:rStyle w:val="HTMLCode"/>
          <w:color w:val="1B2330"/>
          <w:lang w:val="de-DE"/>
        </w:rPr>
        <w:t>aiplatform.ModelsAPI</w:t>
      </w:r>
      <w:r>
        <w:rPr>
          <w:rFonts w:ascii="Calibri" w:eastAsia="Times New Roman" w:hAnsi="Calibri" w:cs="Calibri"/>
          <w:color w:val="1B2330"/>
          <w:sz w:val="18"/>
          <w:szCs w:val="18"/>
          <w:lang w:val="de-DE"/>
        </w:rPr>
        <w:t xml:space="preserve">, GPT-4o mini) erzeugt aus einem Satz Account, Kontakt, Opportunity, Angebot und eine Entwurfskonfiguration. Das JSON-Schema enthält keine Geldfelder; jeder Preis, jede Menge und jeder Rabatt wird deterministisch gelesen und unterscheidet </w:t>
      </w:r>
      <w:r>
        <w:rPr>
          <w:rStyle w:val="HTMLCode"/>
          <w:color w:val="1B2330"/>
          <w:lang w:val="de-DE"/>
        </w:rPr>
        <w:t>1.500,00</w:t>
      </w:r>
      <w:r>
        <w:rPr>
          <w:rFonts w:ascii="Calibri" w:eastAsia="Times New Roman" w:hAnsi="Calibri" w:cs="Calibri"/>
          <w:color w:val="1B2330"/>
          <w:sz w:val="18"/>
          <w:szCs w:val="18"/>
          <w:lang w:val="de-DE"/>
        </w:rPr>
        <w:t xml:space="preserve"> von </w:t>
      </w:r>
      <w:r>
        <w:rPr>
          <w:rStyle w:val="HTMLCode"/>
          <w:color w:val="1B2330"/>
          <w:lang w:val="de-DE"/>
        </w:rPr>
        <w:t>1,500.00</w:t>
      </w:r>
      <w:r>
        <w:rPr>
          <w:rFonts w:ascii="Calibri" w:eastAsia="Times New Roman" w:hAnsi="Calibri" w:cs="Calibri"/>
          <w:color w:val="1B2330"/>
          <w:sz w:val="18"/>
          <w:szCs w:val="18"/>
          <w:lang w:val="de-DE"/>
        </w:rPr>
        <w:t xml:space="preserve"> anhand der Angebotswährung. Ohne Callout — keine Named Credential, keine Remote Site Setting.</w:t>
      </w:r>
    </w:p>
    <w:p w14:paraId="67E1A75E" w14:textId="77777777" w:rsidR="00207AD1" w:rsidRDefault="00207AD1">
      <w:pPr>
        <w:numPr>
          <w:ilvl w:val="0"/>
          <w:numId w:val="2"/>
        </w:numPr>
        <w:spacing w:after="23"/>
        <w:divId w:val="208222142"/>
        <w:rPr>
          <w:rFonts w:ascii="Calibri" w:eastAsia="Times New Roman" w:hAnsi="Calibri" w:cs="Calibri"/>
          <w:color w:val="1B2330"/>
          <w:sz w:val="18"/>
          <w:szCs w:val="18"/>
          <w:lang w:val="de-DE"/>
        </w:rPr>
      </w:pPr>
      <w:r>
        <w:rPr>
          <w:rFonts w:ascii="Calibri" w:eastAsia="Times New Roman" w:hAnsi="Calibri" w:cs="Calibri"/>
          <w:b/>
          <w:bCs/>
          <w:color w:val="1B2330"/>
          <w:sz w:val="18"/>
          <w:szCs w:val="18"/>
          <w:lang w:val="de-DE"/>
        </w:rPr>
        <w:t>Das Package:</w:t>
      </w:r>
      <w:r>
        <w:rPr>
          <w:rFonts w:ascii="Calibri" w:eastAsia="Times New Roman" w:hAnsi="Calibri" w:cs="Calibri"/>
          <w:color w:val="1B2330"/>
          <w:sz w:val="18"/>
          <w:szCs w:val="18"/>
          <w:lang w:val="de-DE"/>
        </w:rPr>
        <w:t xml:space="preserve"> </w:t>
      </w:r>
      <w:r>
        <w:rPr>
          <w:rFonts w:ascii="Calibri" w:eastAsia="Times New Roman" w:hAnsi="Calibri" w:cs="Calibri"/>
          <w:color w:val="1B2330"/>
          <w:sz w:val="18"/>
          <w:szCs w:val="18"/>
          <w:lang w:val="de-DE"/>
        </w:rPr>
        <w:t>sechs Beta-Versionen, 1.0.0.6 in einer separaten Subscriber-Org installiert und verifiziert; erweitert das Standard-</w:t>
      </w:r>
      <w:r>
        <w:rPr>
          <w:rStyle w:val="HTMLCode"/>
          <w:color w:val="1B2330"/>
          <w:lang w:val="de-DE"/>
        </w:rPr>
        <w:t>QuoteLineItem</w:t>
      </w:r>
      <w:r>
        <w:rPr>
          <w:rFonts w:ascii="Calibri" w:eastAsia="Times New Roman" w:hAnsi="Calibri" w:cs="Calibri"/>
          <w:color w:val="1B2330"/>
          <w:sz w:val="18"/>
          <w:szCs w:val="18"/>
          <w:lang w:val="de-DE"/>
        </w:rPr>
        <w:t xml:space="preserve"> der RLM, statt es zu ersetzen; </w:t>
      </w:r>
      <w:r>
        <w:rPr>
          <w:rFonts w:ascii="Calibri" w:eastAsia="Times New Roman" w:hAnsi="Calibri" w:cs="Calibri"/>
          <w:b/>
          <w:bCs/>
          <w:color w:val="1B2330"/>
          <w:sz w:val="18"/>
          <w:szCs w:val="18"/>
          <w:lang w:val="de-DE"/>
        </w:rPr>
        <w:t xml:space="preserve">20 Apex-Klassen (5.329 Zeilen), 7 LWCs, 7 eigene Objekte, </w:t>
      </w:r>
      <w:r>
        <w:rPr>
          <w:rFonts w:ascii="Calibri" w:eastAsia="Times New Roman" w:hAnsi="Calibri" w:cs="Calibri"/>
          <w:b/>
          <w:bCs/>
          <w:color w:val="1B2330"/>
          <w:sz w:val="18"/>
          <w:szCs w:val="18"/>
          <w:lang w:val="de-DE"/>
        </w:rPr>
        <w:lastRenderedPageBreak/>
        <w:t>171 Testmethoden</w:t>
      </w:r>
      <w:r>
        <w:rPr>
          <w:rFonts w:ascii="Calibri" w:eastAsia="Times New Roman" w:hAnsi="Calibri" w:cs="Calibri"/>
          <w:color w:val="1B2330"/>
          <w:sz w:val="18"/>
          <w:szCs w:val="18"/>
          <w:lang w:val="de-DE"/>
        </w:rPr>
        <w:t xml:space="preserve">; </w:t>
      </w:r>
      <w:r>
        <w:rPr>
          <w:rStyle w:val="HTMLCode"/>
          <w:color w:val="1B2330"/>
          <w:lang w:val="de-DE"/>
        </w:rPr>
        <w:t>WITH USER_MODE</w:t>
      </w:r>
      <w:r>
        <w:rPr>
          <w:rFonts w:ascii="Calibri" w:eastAsia="Times New Roman" w:hAnsi="Calibri" w:cs="Calibri"/>
          <w:color w:val="1B2330"/>
          <w:sz w:val="18"/>
          <w:szCs w:val="18"/>
          <w:lang w:val="de-DE"/>
        </w:rPr>
        <w:t xml:space="preserve"> bei jeder Abfrage über Benutzerdaten. Der AppExchange-Eintrag ist angelegt, </w:t>
      </w:r>
      <w:r>
        <w:rPr>
          <w:rFonts w:ascii="Calibri" w:eastAsia="Times New Roman" w:hAnsi="Calibri" w:cs="Calibri"/>
          <w:b/>
          <w:bCs/>
          <w:color w:val="1B2330"/>
          <w:sz w:val="18"/>
          <w:szCs w:val="18"/>
          <w:lang w:val="de-DE"/>
        </w:rPr>
        <w:t>die Einreichung zum Security Review ist der nächste Schritt</w:t>
      </w:r>
      <w:r>
        <w:rPr>
          <w:rFonts w:ascii="Calibri" w:eastAsia="Times New Roman" w:hAnsi="Calibri" w:cs="Calibri"/>
          <w:color w:val="1B2330"/>
          <w:sz w:val="18"/>
          <w:szCs w:val="18"/>
          <w:lang w:val="de-DE"/>
        </w:rPr>
        <w:t>.</w:t>
      </w:r>
    </w:p>
    <w:p w14:paraId="56DEA64D" w14:textId="77777777" w:rsidR="00207AD1" w:rsidRDefault="00207AD1">
      <w:pPr>
        <w:pStyle w:val="Heading3"/>
        <w:divId w:val="358354916"/>
        <w:rPr>
          <w:rFonts w:ascii="Calibri" w:eastAsia="Times New Roman" w:hAnsi="Calibri" w:cs="Calibri"/>
          <w:lang w:val="de-DE"/>
        </w:rPr>
      </w:pPr>
      <w:r>
        <w:rPr>
          <w:rFonts w:ascii="Calibri" w:eastAsia="Times New Roman" w:hAnsi="Calibri" w:cs="Calibri"/>
          <w:lang w:val="de-DE"/>
        </w:rPr>
        <w:t>HanseWatt — Agentforce-Serviceagent, gegroundet in Data 360 · 2026</w:t>
      </w:r>
    </w:p>
    <w:p w14:paraId="369EBA0E" w14:textId="77777777" w:rsidR="00207AD1" w:rsidRDefault="00207AD1">
      <w:pPr>
        <w:pStyle w:val="note"/>
        <w:divId w:val="358354916"/>
        <w:rPr>
          <w:rFonts w:ascii="Calibri" w:hAnsi="Calibri" w:cs="Calibri"/>
          <w:sz w:val="18"/>
          <w:szCs w:val="18"/>
          <w:lang w:val="de-DE"/>
        </w:rPr>
      </w:pPr>
      <w:r>
        <w:rPr>
          <w:rFonts w:ascii="Calibri" w:hAnsi="Calibri" w:cs="Calibri"/>
          <w:sz w:val="18"/>
          <w:szCs w:val="18"/>
          <w:lang w:val="de-DE"/>
        </w:rPr>
        <w:t>Portfolio-Projekt in einer Developer Edition; die HanseWatt GmbH ist ein fiktiver DACH-Energieversorger.</w:t>
      </w:r>
    </w:p>
    <w:p w14:paraId="02547C03" w14:textId="77777777" w:rsidR="00207AD1" w:rsidRDefault="00207AD1">
      <w:pPr>
        <w:numPr>
          <w:ilvl w:val="0"/>
          <w:numId w:val="3"/>
        </w:numPr>
        <w:spacing w:after="23"/>
        <w:divId w:val="327631944"/>
        <w:rPr>
          <w:rFonts w:ascii="Calibri" w:eastAsia="Times New Roman" w:hAnsi="Calibri" w:cs="Calibri"/>
          <w:color w:val="1B2330"/>
          <w:sz w:val="18"/>
          <w:szCs w:val="18"/>
          <w:lang w:val="de-DE"/>
        </w:rPr>
      </w:pPr>
      <w:r>
        <w:rPr>
          <w:rFonts w:ascii="Calibri" w:eastAsia="Times New Roman" w:hAnsi="Calibri" w:cs="Calibri"/>
          <w:b/>
          <w:bCs/>
          <w:color w:val="1B2330"/>
          <w:sz w:val="18"/>
          <w:szCs w:val="18"/>
          <w:lang w:val="de-DE"/>
        </w:rPr>
        <w:t>Deutschsprachiger Agentforce-Serviceagent</w:t>
      </w:r>
      <w:r>
        <w:rPr>
          <w:rFonts w:ascii="Calibri" w:eastAsia="Times New Roman" w:hAnsi="Calibri" w:cs="Calibri"/>
          <w:color w:val="1B2330"/>
          <w:sz w:val="18"/>
          <w:szCs w:val="18"/>
          <w:lang w:val="de-DE"/>
        </w:rPr>
        <w:t xml:space="preserve"> — ReAct-Planer, 2 Topics, 9 verdrahtete Aktionen (Identifikation → Rechnung → Verbrauch → Knowledge → Tarifwechsel → Umzug → Case); </w:t>
      </w:r>
      <w:r>
        <w:rPr>
          <w:rFonts w:ascii="Calibri" w:eastAsia="Times New Roman" w:hAnsi="Calibri" w:cs="Calibri"/>
          <w:b/>
          <w:bCs/>
          <w:color w:val="1B2330"/>
          <w:sz w:val="18"/>
          <w:szCs w:val="18"/>
          <w:lang w:val="de-DE"/>
        </w:rPr>
        <w:t>8 der 9 sind eigene Apex-</w:t>
      </w:r>
      <w:r>
        <w:rPr>
          <w:rStyle w:val="HTMLCode"/>
          <w:b/>
          <w:bCs/>
          <w:color w:val="1B2330"/>
          <w:lang w:val="de-DE"/>
        </w:rPr>
        <w:t>@InvocableMethod</w:t>
      </w:r>
      <w:r>
        <w:rPr>
          <w:rFonts w:ascii="Calibri" w:eastAsia="Times New Roman" w:hAnsi="Calibri" w:cs="Calibri"/>
          <w:b/>
          <w:bCs/>
          <w:color w:val="1B2330"/>
          <w:sz w:val="18"/>
          <w:szCs w:val="18"/>
          <w:lang w:val="de-DE"/>
        </w:rPr>
        <w:t>-Klassen</w:t>
      </w:r>
      <w:r>
        <w:rPr>
          <w:rFonts w:ascii="Calibri" w:eastAsia="Times New Roman" w:hAnsi="Calibri" w:cs="Calibri"/>
          <w:color w:val="1B2330"/>
          <w:sz w:val="18"/>
          <w:szCs w:val="18"/>
          <w:lang w:val="de-DE"/>
        </w:rPr>
        <w:t>. Ein Calculated Insight in SQL auf Data 360 vergleicht jeden Zählerstand mit dem eigenen gleitenden Durchschnitt.</w:t>
      </w:r>
    </w:p>
    <w:p w14:paraId="7E263928" w14:textId="77777777" w:rsidR="00207AD1" w:rsidRDefault="00207AD1">
      <w:pPr>
        <w:numPr>
          <w:ilvl w:val="0"/>
          <w:numId w:val="3"/>
        </w:numPr>
        <w:spacing w:after="23"/>
        <w:divId w:val="327631944"/>
        <w:rPr>
          <w:rFonts w:ascii="Calibri" w:eastAsia="Times New Roman" w:hAnsi="Calibri" w:cs="Calibri"/>
          <w:color w:val="1B2330"/>
          <w:sz w:val="18"/>
          <w:szCs w:val="18"/>
          <w:lang w:val="de-DE"/>
        </w:rPr>
      </w:pPr>
      <w:r>
        <w:rPr>
          <w:rFonts w:ascii="Calibri" w:eastAsia="Times New Roman" w:hAnsi="Calibri" w:cs="Calibri"/>
          <w:b/>
          <w:bCs/>
          <w:color w:val="1B2330"/>
          <w:sz w:val="18"/>
          <w:szCs w:val="18"/>
          <w:lang w:val="de-DE"/>
        </w:rPr>
        <w:t>Tarifwechsel als serverseitige Zustandsmaschine für die Zustimmung</w:t>
      </w:r>
      <w:r>
        <w:rPr>
          <w:rFonts w:ascii="Calibri" w:eastAsia="Times New Roman" w:hAnsi="Calibri" w:cs="Calibri"/>
          <w:color w:val="1B2330"/>
          <w:sz w:val="18"/>
          <w:szCs w:val="18"/>
          <w:lang w:val="de-DE"/>
        </w:rPr>
        <w:t xml:space="preserve"> — eine ablaufende, kontobezogene Anfrage, die bei der ersten Bestätigung nicht ausgeführt werden kann; beim Ausführen wird ein Platform Event als Schnittstelle zur Abrechnung veröffentlicht — die Gegenseite ist simuliert.</w:t>
      </w:r>
    </w:p>
    <w:p w14:paraId="1B6BAAF9" w14:textId="77777777" w:rsidR="00207AD1" w:rsidRDefault="00207AD1">
      <w:pPr>
        <w:numPr>
          <w:ilvl w:val="0"/>
          <w:numId w:val="3"/>
        </w:numPr>
        <w:spacing w:after="23"/>
        <w:divId w:val="327631944"/>
        <w:rPr>
          <w:rFonts w:ascii="Calibri" w:eastAsia="Times New Roman" w:hAnsi="Calibri" w:cs="Calibri"/>
          <w:color w:val="1B2330"/>
          <w:sz w:val="18"/>
          <w:szCs w:val="18"/>
          <w:lang w:val="de-DE"/>
        </w:rPr>
      </w:pPr>
      <w:r>
        <w:rPr>
          <w:rFonts w:ascii="Calibri" w:eastAsia="Times New Roman" w:hAnsi="Calibri" w:cs="Calibri"/>
          <w:b/>
          <w:bCs/>
          <w:color w:val="1B2330"/>
          <w:sz w:val="18"/>
          <w:szCs w:val="18"/>
          <w:lang w:val="de-DE"/>
        </w:rPr>
        <w:t>Sicher per Voreinstellung:</w:t>
      </w:r>
      <w:r>
        <w:rPr>
          <w:rFonts w:ascii="Calibri" w:eastAsia="Times New Roman" w:hAnsi="Calibri" w:cs="Calibri"/>
          <w:color w:val="1B2330"/>
          <w:sz w:val="18"/>
          <w:szCs w:val="18"/>
          <w:lang w:val="de-DE"/>
        </w:rPr>
        <w:t xml:space="preserve"> alle 32 Apex-Klassen auf apiVersion 67.0, 16 Nicht-Test-Klassen </w:t>
      </w:r>
      <w:r>
        <w:rPr>
          <w:rStyle w:val="HTMLCode"/>
          <w:color w:val="1B2330"/>
          <w:lang w:val="de-DE"/>
        </w:rPr>
        <w:t>with sharing</w:t>
      </w:r>
      <w:r>
        <w:rPr>
          <w:rFonts w:ascii="Calibri" w:eastAsia="Times New Roman" w:hAnsi="Calibri" w:cs="Calibri"/>
          <w:color w:val="1B2330"/>
          <w:sz w:val="18"/>
          <w:szCs w:val="18"/>
          <w:lang w:val="de-DE"/>
        </w:rPr>
        <w:t xml:space="preserve">, 5 DML-Anweisungen </w:t>
      </w:r>
      <w:r>
        <w:rPr>
          <w:rStyle w:val="HTMLCode"/>
          <w:color w:val="1B2330"/>
          <w:lang w:val="de-DE"/>
        </w:rPr>
        <w:t>as user</w:t>
      </w:r>
      <w:r>
        <w:rPr>
          <w:rFonts w:ascii="Calibri" w:eastAsia="Times New Roman" w:hAnsi="Calibri" w:cs="Calibri"/>
          <w:color w:val="1B2330"/>
          <w:sz w:val="18"/>
          <w:szCs w:val="18"/>
          <w:lang w:val="de-DE"/>
        </w:rPr>
        <w:t xml:space="preserve">; </w:t>
      </w:r>
      <w:r>
        <w:rPr>
          <w:rFonts w:ascii="Calibri" w:eastAsia="Times New Roman" w:hAnsi="Calibri" w:cs="Calibri"/>
          <w:b/>
          <w:bCs/>
          <w:color w:val="1B2330"/>
          <w:sz w:val="18"/>
          <w:szCs w:val="18"/>
          <w:lang w:val="de-DE"/>
        </w:rPr>
        <w:t>101 Testmethoden / 348 Assertions</w:t>
      </w:r>
      <w:r>
        <w:rPr>
          <w:rFonts w:ascii="Calibri" w:eastAsia="Times New Roman" w:hAnsi="Calibri" w:cs="Calibri"/>
          <w:color w:val="1B2330"/>
          <w:sz w:val="18"/>
          <w:szCs w:val="18"/>
          <w:lang w:val="de-DE"/>
        </w:rPr>
        <w:t xml:space="preserve"> bei null Flex Credits; 21 ADRs.</w:t>
      </w:r>
    </w:p>
    <w:p w14:paraId="0C8ACB2E" w14:textId="77777777" w:rsidR="00207AD1" w:rsidRDefault="00207AD1">
      <w:pPr>
        <w:pStyle w:val="Heading3"/>
        <w:divId w:val="381251514"/>
        <w:rPr>
          <w:rFonts w:ascii="Calibri" w:eastAsia="Times New Roman" w:hAnsi="Calibri" w:cs="Calibri"/>
          <w:lang w:val="de-DE"/>
        </w:rPr>
      </w:pPr>
      <w:r>
        <w:rPr>
          <w:rFonts w:ascii="Calibri" w:eastAsia="Times New Roman" w:hAnsi="Calibri" w:cs="Calibri"/>
          <w:lang w:val="de-DE"/>
        </w:rPr>
        <w:t>Multi-Agenten-Orchestrierung auf Agentforce — Agent Script · 2026</w:t>
      </w:r>
    </w:p>
    <w:p w14:paraId="43A16A71" w14:textId="77777777" w:rsidR="00207AD1" w:rsidRDefault="00207AD1">
      <w:pPr>
        <w:numPr>
          <w:ilvl w:val="0"/>
          <w:numId w:val="4"/>
        </w:numPr>
        <w:spacing w:after="23"/>
        <w:divId w:val="811600709"/>
        <w:rPr>
          <w:rFonts w:ascii="Calibri" w:eastAsia="Times New Roman" w:hAnsi="Calibri" w:cs="Calibri"/>
          <w:color w:val="1B2330"/>
          <w:sz w:val="18"/>
          <w:szCs w:val="18"/>
          <w:lang w:val="de-DE"/>
        </w:rPr>
      </w:pPr>
      <w:r>
        <w:rPr>
          <w:rFonts w:ascii="Calibri" w:eastAsia="Times New Roman" w:hAnsi="Calibri" w:cs="Calibri"/>
          <w:b/>
          <w:bCs/>
          <w:color w:val="1B2330"/>
          <w:sz w:val="18"/>
          <w:szCs w:val="18"/>
          <w:lang w:val="de-DE"/>
        </w:rPr>
        <w:t>Ein Router-Agent über drei Spezialisten</w:t>
      </w:r>
      <w:r>
        <w:rPr>
          <w:rFonts w:ascii="Calibri" w:eastAsia="Times New Roman" w:hAnsi="Calibri" w:cs="Calibri"/>
          <w:color w:val="1B2330"/>
          <w:sz w:val="18"/>
          <w:szCs w:val="18"/>
          <w:lang w:val="de-DE"/>
        </w:rPr>
        <w:t xml:space="preserve"> </w:t>
      </w:r>
      <w:r>
        <w:rPr>
          <w:rFonts w:ascii="Calibri" w:eastAsia="Times New Roman" w:hAnsi="Calibri" w:cs="Calibri"/>
          <w:color w:val="1B2330"/>
          <w:sz w:val="18"/>
          <w:szCs w:val="18"/>
          <w:lang w:val="de-DE"/>
        </w:rPr>
        <w:t xml:space="preserve">— Records, Triage und Scheduling; Zuständigkeit exklusiv, Reihenfolge fest. Der Trace zeigt alle drei in </w:t>
      </w:r>
      <w:r>
        <w:rPr>
          <w:rFonts w:ascii="Calibri" w:eastAsia="Times New Roman" w:hAnsi="Calibri" w:cs="Calibri"/>
          <w:b/>
          <w:bCs/>
          <w:color w:val="1B2330"/>
          <w:sz w:val="18"/>
          <w:szCs w:val="18"/>
          <w:lang w:val="de-DE"/>
        </w:rPr>
        <w:t>einem Turn</w:t>
      </w:r>
      <w:r>
        <w:rPr>
          <w:rFonts w:ascii="Calibri" w:eastAsia="Times New Roman" w:hAnsi="Calibri" w:cs="Calibri"/>
          <w:color w:val="1B2330"/>
          <w:sz w:val="18"/>
          <w:szCs w:val="18"/>
          <w:lang w:val="de-DE"/>
        </w:rPr>
        <w:t xml:space="preserve"> aufgerufen, Output Evaluation </w:t>
      </w:r>
      <w:r>
        <w:rPr>
          <w:rFonts w:ascii="Calibri" w:eastAsia="Times New Roman" w:hAnsi="Calibri" w:cs="Calibri"/>
          <w:b/>
          <w:bCs/>
          <w:color w:val="1B2330"/>
          <w:sz w:val="18"/>
          <w:szCs w:val="18"/>
          <w:lang w:val="de-DE"/>
        </w:rPr>
        <w:t>GROUNDED</w:t>
      </w:r>
      <w:r>
        <w:rPr>
          <w:rFonts w:ascii="Calibri" w:eastAsia="Times New Roman" w:hAnsi="Calibri" w:cs="Calibri"/>
          <w:color w:val="1B2330"/>
          <w:sz w:val="18"/>
          <w:szCs w:val="18"/>
          <w:lang w:val="de-DE"/>
        </w:rPr>
        <w:t xml:space="preserve">. </w:t>
      </w:r>
      <w:r>
        <w:rPr>
          <w:rFonts w:ascii="Calibri" w:eastAsia="Times New Roman" w:hAnsi="Calibri" w:cs="Calibri"/>
          <w:b/>
          <w:bCs/>
          <w:color w:val="1B2330"/>
          <w:sz w:val="18"/>
          <w:szCs w:val="18"/>
          <w:lang w:val="de-DE"/>
        </w:rPr>
        <w:t>Gemessen, nicht angenommen:</w:t>
      </w:r>
      <w:r>
        <w:rPr>
          <w:rFonts w:ascii="Calibri" w:eastAsia="Times New Roman" w:hAnsi="Calibri" w:cs="Calibri"/>
          <w:color w:val="1B2330"/>
          <w:sz w:val="18"/>
          <w:szCs w:val="18"/>
          <w:lang w:val="de-DE"/>
        </w:rPr>
        <w:t xml:space="preserve"> Ein Connected Subagent muss aufgerufen, nicht per Transition übergeben werden — </w:t>
      </w:r>
      <w:r>
        <w:rPr>
          <w:rStyle w:val="HTMLCode"/>
          <w:color w:val="1B2330"/>
          <w:lang w:val="de-DE"/>
        </w:rPr>
        <w:t>@utils.transition</w:t>
      </w:r>
      <w:r>
        <w:rPr>
          <w:rFonts w:ascii="Calibri" w:eastAsia="Times New Roman" w:hAnsi="Calibri" w:cs="Calibri"/>
          <w:color w:val="1B2330"/>
          <w:sz w:val="18"/>
          <w:szCs w:val="18"/>
          <w:lang w:val="de-DE"/>
        </w:rPr>
        <w:t xml:space="preserve"> gibt die Kontrolle ab, und die Antwort kommt nie zurück.</w:t>
      </w:r>
    </w:p>
    <w:p w14:paraId="227D5CE0" w14:textId="77777777" w:rsidR="00207AD1" w:rsidRDefault="00207AD1">
      <w:pPr>
        <w:pStyle w:val="Heading3"/>
        <w:divId w:val="1871843951"/>
        <w:rPr>
          <w:rFonts w:ascii="Calibri" w:eastAsia="Times New Roman" w:hAnsi="Calibri" w:cs="Calibri"/>
          <w:lang w:val="de-DE"/>
        </w:rPr>
      </w:pPr>
      <w:r>
        <w:rPr>
          <w:rFonts w:ascii="Calibri" w:eastAsia="Times New Roman" w:hAnsi="Calibri" w:cs="Calibri"/>
          <w:lang w:val="de-DE"/>
        </w:rPr>
        <w:t>Agentforce-Assurance-Werkzeuge — Agenten, denen man ein Angebot, einen Preis oder einen Datensatz anvertrauen kann · 2026</w:t>
      </w:r>
    </w:p>
    <w:p w14:paraId="3E60BF76" w14:textId="77777777" w:rsidR="00207AD1" w:rsidRDefault="00207AD1">
      <w:pPr>
        <w:numPr>
          <w:ilvl w:val="0"/>
          <w:numId w:val="5"/>
        </w:numPr>
        <w:spacing w:after="23"/>
        <w:divId w:val="428893210"/>
        <w:rPr>
          <w:rFonts w:ascii="Calibri" w:eastAsia="Times New Roman" w:hAnsi="Calibri" w:cs="Calibri"/>
          <w:color w:val="1B2330"/>
          <w:sz w:val="18"/>
          <w:szCs w:val="18"/>
          <w:lang w:val="de-DE"/>
        </w:rPr>
      </w:pPr>
      <w:r>
        <w:rPr>
          <w:rFonts w:ascii="Calibri" w:eastAsia="Times New Roman" w:hAnsi="Calibri" w:cs="Calibri"/>
          <w:b/>
          <w:bCs/>
          <w:color w:val="1B2330"/>
          <w:sz w:val="18"/>
          <w:szCs w:val="18"/>
          <w:lang w:val="de-DE"/>
        </w:rPr>
        <w:t>Agent Blast Radius</w:t>
      </w:r>
      <w:r>
        <w:rPr>
          <w:rFonts w:ascii="Calibri" w:eastAsia="Times New Roman" w:hAnsi="Calibri" w:cs="Calibri"/>
          <w:color w:val="1B2330"/>
          <w:sz w:val="18"/>
          <w:szCs w:val="18"/>
          <w:lang w:val="de-DE"/>
        </w:rPr>
        <w:t xml:space="preserve"> (öffentlich, MIT) — berechnet, was Apex und Flow eines Agenten für einen konkret benannten ausführenden Benutzer wirklich erreichen, und verfolgt ein Compliance-gelabeltes Feld bis in den Prompt des Modells, mit Zeilennummer. Gegen Salesforce' eigene Graph Engine (Developer Preview; Code Analyzer 5.15.0, Korpus v1.1, 29.08.2026), entschieden von einer Live-Org: sfge widerspricht der Org in </w:t>
      </w:r>
      <w:r>
        <w:rPr>
          <w:rFonts w:ascii="Calibri" w:eastAsia="Times New Roman" w:hAnsi="Calibri" w:cs="Calibri"/>
          <w:b/>
          <w:bCs/>
          <w:color w:val="1B2330"/>
          <w:sz w:val="18"/>
          <w:szCs w:val="18"/>
          <w:lang w:val="de-DE"/>
        </w:rPr>
        <w:t>8 von 21</w:t>
      </w:r>
      <w:r>
        <w:rPr>
          <w:rFonts w:ascii="Calibri" w:eastAsia="Times New Roman" w:hAnsi="Calibri" w:cs="Calibri"/>
          <w:color w:val="1B2330"/>
          <w:sz w:val="18"/>
          <w:szCs w:val="18"/>
          <w:lang w:val="de-DE"/>
        </w:rPr>
        <w:t xml:space="preserve"> Fällen, dieses Werkzeug in </w:t>
      </w:r>
      <w:r>
        <w:rPr>
          <w:rFonts w:ascii="Calibri" w:eastAsia="Times New Roman" w:hAnsi="Calibri" w:cs="Calibri"/>
          <w:b/>
          <w:bCs/>
          <w:color w:val="1B2330"/>
          <w:sz w:val="18"/>
          <w:szCs w:val="18"/>
          <w:lang w:val="de-DE"/>
        </w:rPr>
        <w:t>0 von 21</w:t>
      </w:r>
      <w:r>
        <w:rPr>
          <w:rFonts w:ascii="Calibri" w:eastAsia="Times New Roman" w:hAnsi="Calibri" w:cs="Calibri"/>
          <w:color w:val="1B2330"/>
          <w:sz w:val="18"/>
          <w:szCs w:val="18"/>
          <w:lang w:val="de-DE"/>
        </w:rPr>
        <w:t>. 323 Tests, 8/8 Mutationsscore.</w:t>
      </w:r>
    </w:p>
    <w:p w14:paraId="209DF3A7" w14:textId="77777777" w:rsidR="00207AD1" w:rsidRDefault="00207AD1">
      <w:pPr>
        <w:numPr>
          <w:ilvl w:val="0"/>
          <w:numId w:val="5"/>
        </w:numPr>
        <w:spacing w:after="23"/>
        <w:divId w:val="428893210"/>
        <w:rPr>
          <w:rFonts w:ascii="Calibri" w:eastAsia="Times New Roman" w:hAnsi="Calibri" w:cs="Calibri"/>
          <w:color w:val="1B2330"/>
          <w:sz w:val="18"/>
          <w:szCs w:val="18"/>
          <w:lang w:val="de-DE"/>
        </w:rPr>
      </w:pPr>
      <w:r>
        <w:rPr>
          <w:rFonts w:ascii="Calibri" w:eastAsia="Times New Roman" w:hAnsi="Calibri" w:cs="Calibri"/>
          <w:b/>
          <w:bCs/>
          <w:color w:val="1B2330"/>
          <w:sz w:val="18"/>
          <w:szCs w:val="18"/>
          <w:lang w:val="de-DE"/>
        </w:rPr>
        <w:t>Prüfstand</w:t>
      </w:r>
      <w:r>
        <w:rPr>
          <w:rFonts w:ascii="Calibri" w:eastAsia="Times New Roman" w:hAnsi="Calibri" w:cs="Calibri"/>
          <w:color w:val="1B2330"/>
          <w:sz w:val="18"/>
          <w:szCs w:val="18"/>
          <w:lang w:val="de-DE"/>
        </w:rPr>
        <w:t xml:space="preserve"> — ein deutschsprachiges Red-Team-Korpus mit 30 Fällen (14 Kategorien, 7 Canary-Tokens), vor dem auswertenden Harness committet; 26 von 29 durchführbaren Angriffen bestanden, drei echte Schwachstellen offen dokumentiert. </w:t>
      </w:r>
      <w:r>
        <w:rPr>
          <w:rFonts w:ascii="Calibri" w:eastAsia="Times New Roman" w:hAnsi="Calibri" w:cs="Calibri"/>
          <w:b/>
          <w:bCs/>
          <w:color w:val="1B2330"/>
          <w:sz w:val="18"/>
          <w:szCs w:val="18"/>
          <w:lang w:val="de-DE"/>
        </w:rPr>
        <w:t>PreFlight</w:t>
      </w:r>
      <w:r>
        <w:rPr>
          <w:rFonts w:ascii="Calibri" w:eastAsia="Times New Roman" w:hAnsi="Calibri" w:cs="Calibri"/>
          <w:color w:val="1B2330"/>
          <w:sz w:val="18"/>
          <w:szCs w:val="18"/>
          <w:lang w:val="de-DE"/>
        </w:rPr>
        <w:t xml:space="preserve"> — ein Agent Readiness Index aus den abgeschlossenen Cases einer Org, bevor jemand baut (29 Apex-Klassen, 79 Testmethoden). </w:t>
      </w:r>
      <w:r>
        <w:rPr>
          <w:rFonts w:ascii="Calibri" w:eastAsia="Times New Roman" w:hAnsi="Calibri" w:cs="Calibri"/>
          <w:b/>
          <w:bCs/>
          <w:color w:val="1B2330"/>
          <w:sz w:val="18"/>
          <w:szCs w:val="18"/>
          <w:lang w:val="de-DE"/>
        </w:rPr>
        <w:t>Nabz</w:t>
      </w:r>
      <w:r>
        <w:rPr>
          <w:rFonts w:ascii="Calibri" w:eastAsia="Times New Roman" w:hAnsi="Calibri" w:cs="Calibri"/>
          <w:color w:val="1B2330"/>
          <w:sz w:val="18"/>
          <w:szCs w:val="18"/>
          <w:lang w:val="de-DE"/>
        </w:rPr>
        <w:t xml:space="preserve"> — Ursachenanalyse zur Laufzeit mit Belegnote A–E (81 Apex-Klassen, 38 ADRs). </w:t>
      </w:r>
      <w:r>
        <w:rPr>
          <w:rFonts w:ascii="Calibri" w:eastAsia="Times New Roman" w:hAnsi="Calibri" w:cs="Calibri"/>
          <w:b/>
          <w:bCs/>
          <w:color w:val="1B2330"/>
          <w:sz w:val="18"/>
          <w:szCs w:val="18"/>
          <w:lang w:val="de-DE"/>
        </w:rPr>
        <w:t>Aktenlage</w:t>
      </w:r>
      <w:r>
        <w:rPr>
          <w:rFonts w:ascii="Calibri" w:eastAsia="Times New Roman" w:hAnsi="Calibri" w:cs="Calibri"/>
          <w:color w:val="1B2330"/>
          <w:sz w:val="18"/>
          <w:szCs w:val="18"/>
          <w:lang w:val="de-DE"/>
        </w:rPr>
        <w:t xml:space="preserve"> — ein Nachweispaket nach Art. 26 EU AI Act; 11 von 11 eingebauten </w:t>
      </w:r>
      <w:r>
        <w:rPr>
          <w:rFonts w:ascii="Calibri" w:eastAsia="Times New Roman" w:hAnsi="Calibri" w:cs="Calibri"/>
          <w:color w:val="1B2330"/>
          <w:sz w:val="18"/>
          <w:szCs w:val="18"/>
          <w:lang w:val="de-DE"/>
        </w:rPr>
        <w:t>Fehlern erkannt.</w:t>
      </w:r>
    </w:p>
    <w:p w14:paraId="669902B7" w14:textId="77777777" w:rsidR="00207AD1" w:rsidRDefault="00207AD1">
      <w:pPr>
        <w:pStyle w:val="Heading3"/>
        <w:divId w:val="1837575776"/>
        <w:rPr>
          <w:rFonts w:ascii="Calibri" w:eastAsia="Times New Roman" w:hAnsi="Calibri" w:cs="Calibri"/>
          <w:lang w:val="de-DE"/>
        </w:rPr>
      </w:pPr>
      <w:r>
        <w:rPr>
          <w:rFonts w:ascii="Calibri" w:eastAsia="Times New Roman" w:hAnsi="Calibri" w:cs="Calibri"/>
          <w:lang w:val="de-DE"/>
        </w:rPr>
        <w:t>Urla Shoes und VoltStream Mobility — Agentforce-Aktionen und eine Compliance-Engine · 2026</w:t>
      </w:r>
    </w:p>
    <w:p w14:paraId="170A1766" w14:textId="77777777" w:rsidR="00207AD1" w:rsidRDefault="00207AD1">
      <w:pPr>
        <w:numPr>
          <w:ilvl w:val="0"/>
          <w:numId w:val="6"/>
        </w:numPr>
        <w:spacing w:after="23"/>
        <w:divId w:val="241332803"/>
        <w:rPr>
          <w:rFonts w:ascii="Calibri" w:eastAsia="Times New Roman" w:hAnsi="Calibri" w:cs="Calibri"/>
          <w:color w:val="1B2330"/>
          <w:sz w:val="18"/>
          <w:szCs w:val="18"/>
          <w:lang w:val="de-DE"/>
        </w:rPr>
      </w:pPr>
      <w:r>
        <w:rPr>
          <w:rFonts w:ascii="Calibri" w:eastAsia="Times New Roman" w:hAnsi="Calibri" w:cs="Calibri"/>
          <w:b/>
          <w:bCs/>
          <w:color w:val="1B2330"/>
          <w:sz w:val="18"/>
          <w:szCs w:val="18"/>
          <w:lang w:val="de-DE"/>
        </w:rPr>
        <w:t>Urla Shoes:</w:t>
      </w:r>
      <w:r>
        <w:rPr>
          <w:rFonts w:ascii="Calibri" w:eastAsia="Times New Roman" w:hAnsi="Calibri" w:cs="Calibri"/>
          <w:color w:val="1B2330"/>
          <w:sz w:val="18"/>
          <w:szCs w:val="18"/>
          <w:lang w:val="de-DE"/>
        </w:rPr>
        <w:t xml:space="preserve"> Ein Einstein Prompt Template klassifiziert Partnerdokumente in striktes JSON, zurückgeschrieben </w:t>
      </w:r>
      <w:r>
        <w:rPr>
          <w:rStyle w:val="HTMLCode"/>
          <w:color w:val="1B2330"/>
          <w:lang w:val="de-DE"/>
        </w:rPr>
        <w:t>as user</w:t>
      </w:r>
      <w:r>
        <w:rPr>
          <w:rFonts w:ascii="Calibri" w:eastAsia="Times New Roman" w:hAnsi="Calibri" w:cs="Calibri"/>
          <w:color w:val="1B2330"/>
          <w:sz w:val="18"/>
          <w:szCs w:val="18"/>
          <w:lang w:val="de-DE"/>
        </w:rPr>
        <w:t xml:space="preserve">; vier aufrufbare Agentforce-Aktionen — darunter ein Reseller-Onboarding, das Account, Kontakt, Opportunity und Angebot in einem Durchlauf anlegt — zwei davon als </w:t>
      </w:r>
      <w:r>
        <w:rPr>
          <w:rFonts w:ascii="Calibri" w:eastAsia="Times New Roman" w:hAnsi="Calibri" w:cs="Calibri"/>
          <w:b/>
          <w:bCs/>
          <w:color w:val="1B2330"/>
          <w:sz w:val="18"/>
          <w:szCs w:val="18"/>
          <w:lang w:val="de-DE"/>
        </w:rPr>
        <w:t>MCP-Tools</w:t>
      </w:r>
      <w:r>
        <w:rPr>
          <w:rFonts w:ascii="Calibri" w:eastAsia="Times New Roman" w:hAnsi="Calibri" w:cs="Calibri"/>
          <w:color w:val="1B2330"/>
          <w:sz w:val="18"/>
          <w:szCs w:val="18"/>
          <w:lang w:val="de-DE"/>
        </w:rPr>
        <w:t xml:space="preserve"> für ein Sprachmodell freigegeben.</w:t>
      </w:r>
    </w:p>
    <w:p w14:paraId="793073A0" w14:textId="77777777" w:rsidR="00207AD1" w:rsidRDefault="00207AD1">
      <w:pPr>
        <w:numPr>
          <w:ilvl w:val="0"/>
          <w:numId w:val="6"/>
        </w:numPr>
        <w:spacing w:after="23"/>
        <w:divId w:val="241332803"/>
        <w:rPr>
          <w:rFonts w:ascii="Calibri" w:eastAsia="Times New Roman" w:hAnsi="Calibri" w:cs="Calibri"/>
          <w:color w:val="1B2330"/>
          <w:sz w:val="18"/>
          <w:szCs w:val="18"/>
          <w:lang w:val="de-DE"/>
        </w:rPr>
      </w:pPr>
      <w:r>
        <w:rPr>
          <w:rFonts w:ascii="Calibri" w:eastAsia="Times New Roman" w:hAnsi="Calibri" w:cs="Calibri"/>
          <w:b/>
          <w:bCs/>
          <w:color w:val="1B2330"/>
          <w:sz w:val="18"/>
          <w:szCs w:val="18"/>
          <w:lang w:val="de-DE"/>
        </w:rPr>
        <w:t>VoltStream Mobility</w:t>
      </w:r>
      <w:r>
        <w:rPr>
          <w:rFonts w:ascii="Calibri" w:eastAsia="Times New Roman" w:hAnsi="Calibri" w:cs="Calibri"/>
          <w:color w:val="1B2330"/>
          <w:sz w:val="18"/>
          <w:szCs w:val="18"/>
          <w:lang w:val="de-DE"/>
        </w:rPr>
        <w:t xml:space="preserve"> </w:t>
      </w:r>
      <w:r>
        <w:rPr>
          <w:rFonts w:ascii="Calibri" w:eastAsia="Times New Roman" w:hAnsi="Calibri" w:cs="Calibri"/>
          <w:color w:val="1B2330"/>
          <w:sz w:val="18"/>
          <w:szCs w:val="18"/>
          <w:lang w:val="de-DE"/>
        </w:rPr>
        <w:t>(öffentlich): eine Eichrecht-Engine, bei der die Engine entscheidet und der Agent erklärt; ein Transkript-Gate bricht den Build, wenn der Agent einen Paragraphen nennt, den keine Action geliefert hat. 191 Testmethoden, 18 ADRs.</w:t>
      </w:r>
    </w:p>
    <w:p w14:paraId="52D0BD94" w14:textId="77777777" w:rsidR="00207AD1" w:rsidRDefault="00207AD1">
      <w:pPr>
        <w:pStyle w:val="Heading2"/>
        <w:rPr>
          <w:rFonts w:ascii="Calibri" w:eastAsia="Times New Roman" w:hAnsi="Calibri" w:cs="Calibri"/>
          <w:lang w:val="de-DE"/>
        </w:rPr>
      </w:pPr>
      <w:r>
        <w:rPr>
          <w:rFonts w:ascii="Calibri" w:eastAsia="Times New Roman" w:hAnsi="Calibri" w:cs="Calibri"/>
          <w:lang w:val="de-DE"/>
        </w:rPr>
        <w:t>Technische Kenntnisse</w:t>
      </w:r>
    </w:p>
    <w:p w14:paraId="2D05CBBB" w14:textId="77777777" w:rsidR="00207AD1" w:rsidRDefault="00207AD1">
      <w:pPr>
        <w:pStyle w:val="NormalWeb"/>
        <w:rPr>
          <w:rFonts w:ascii="Calibri" w:hAnsi="Calibri" w:cs="Calibri"/>
          <w:color w:val="1B2330"/>
          <w:sz w:val="18"/>
          <w:szCs w:val="18"/>
          <w:lang w:val="de-DE"/>
        </w:rPr>
      </w:pPr>
      <w:r>
        <w:rPr>
          <w:rFonts w:ascii="Calibri" w:hAnsi="Calibri" w:cs="Calibri"/>
          <w:b/>
          <w:bCs/>
          <w:color w:val="1B2330"/>
          <w:sz w:val="18"/>
          <w:szCs w:val="18"/>
          <w:lang w:val="de-DE"/>
        </w:rPr>
        <w:t>Revenue Cloud &amp; Quote-to-Cash:</w:t>
      </w:r>
      <w:r>
        <w:rPr>
          <w:rFonts w:ascii="Calibri" w:hAnsi="Calibri" w:cs="Calibri"/>
          <w:color w:val="1B2330"/>
          <w:sz w:val="18"/>
          <w:szCs w:val="18"/>
          <w:lang w:val="de-DE"/>
        </w:rPr>
        <w:t xml:space="preserve"> Revenue Lifecycle Management — Produktkatalog (Bundles, Selling Models, Preisbucheinträge), Qualifizierung mit Expression Sets, Konfigurator, Pricing, Angebote und Aufträge, Freigaben · CLM · Industries CPQ · Salesforce CPQ · OmniStudio</w:t>
      </w:r>
    </w:p>
    <w:p w14:paraId="52658D2A" w14:textId="77777777" w:rsidR="00207AD1" w:rsidRDefault="00207AD1">
      <w:pPr>
        <w:pStyle w:val="NormalWeb"/>
        <w:rPr>
          <w:rFonts w:ascii="Calibri" w:hAnsi="Calibri" w:cs="Calibri"/>
          <w:color w:val="1B2330"/>
          <w:sz w:val="18"/>
          <w:szCs w:val="18"/>
          <w:lang w:val="de-DE"/>
        </w:rPr>
      </w:pPr>
      <w:r>
        <w:rPr>
          <w:rFonts w:ascii="Calibri" w:hAnsi="Calibri" w:cs="Calibri"/>
          <w:b/>
          <w:bCs/>
          <w:color w:val="1B2330"/>
          <w:sz w:val="18"/>
          <w:szCs w:val="18"/>
          <w:lang w:val="de-DE"/>
        </w:rPr>
        <w:t>Integration &amp; Daten:</w:t>
      </w:r>
      <w:r>
        <w:rPr>
          <w:rFonts w:ascii="Calibri" w:hAnsi="Calibri" w:cs="Calibri"/>
          <w:color w:val="1B2330"/>
          <w:sz w:val="18"/>
          <w:szCs w:val="18"/>
          <w:lang w:val="de-DE"/>
        </w:rPr>
        <w:t xml:space="preserve"> REST/SOAP, Named Credentials, Webhooks mit HMAC, MuleSoft Anypoint, SAP S/4HANA (OData v2, CloudEvents), DATEV EXTF/SKR04, CAMT.053 / ISO 20022, Stripe, DocuSign, lexoffice, Data 360 (Query API), SQL</w:t>
      </w:r>
    </w:p>
    <w:p w14:paraId="1CE561FF" w14:textId="77777777" w:rsidR="00207AD1" w:rsidRDefault="00207AD1">
      <w:pPr>
        <w:pStyle w:val="NormalWeb"/>
        <w:rPr>
          <w:rFonts w:ascii="Calibri" w:hAnsi="Calibri" w:cs="Calibri"/>
          <w:color w:val="1B2330"/>
          <w:sz w:val="18"/>
          <w:szCs w:val="18"/>
          <w:lang w:val="de-DE"/>
        </w:rPr>
      </w:pPr>
      <w:r>
        <w:rPr>
          <w:rFonts w:ascii="Calibri" w:hAnsi="Calibri" w:cs="Calibri"/>
          <w:b/>
          <w:bCs/>
          <w:color w:val="1B2330"/>
          <w:sz w:val="18"/>
          <w:szCs w:val="18"/>
          <w:lang w:val="de-DE"/>
        </w:rPr>
        <w:t>Agentforce &amp; KI:</w:t>
      </w:r>
      <w:r>
        <w:rPr>
          <w:rFonts w:ascii="Calibri" w:hAnsi="Calibri" w:cs="Calibri"/>
          <w:color w:val="1B2330"/>
          <w:sz w:val="18"/>
          <w:szCs w:val="18"/>
          <w:lang w:val="de-DE"/>
        </w:rPr>
        <w:t xml:space="preserve"> Agentforce (Topics, Aktionen, Planer, Agent Script, Multi-Agenten-Orchestrierung), Grounding mit Knowledge und Data 360, Einstein Prompt Templates &amp; Models API, Trust Layer, Model Context Protocol, Härtung gegen Prompt Injection, Agent-Red-Teaming</w:t>
      </w:r>
    </w:p>
    <w:p w14:paraId="26ED3008" w14:textId="77777777" w:rsidR="00207AD1" w:rsidRDefault="00207AD1">
      <w:pPr>
        <w:pStyle w:val="NormalWeb"/>
        <w:rPr>
          <w:rFonts w:ascii="Calibri" w:hAnsi="Calibri" w:cs="Calibri"/>
          <w:color w:val="1B2330"/>
          <w:sz w:val="18"/>
          <w:szCs w:val="18"/>
          <w:lang w:val="de-DE"/>
        </w:rPr>
      </w:pPr>
      <w:r>
        <w:rPr>
          <w:rFonts w:ascii="Calibri" w:hAnsi="Calibri" w:cs="Calibri"/>
          <w:b/>
          <w:bCs/>
          <w:color w:val="1B2330"/>
          <w:sz w:val="18"/>
          <w:szCs w:val="18"/>
          <w:lang w:val="de-DE"/>
        </w:rPr>
        <w:t>Plattform:</w:t>
      </w:r>
      <w:r>
        <w:rPr>
          <w:rFonts w:ascii="Calibri" w:hAnsi="Calibri" w:cs="Calibri"/>
          <w:color w:val="1B2330"/>
          <w:sz w:val="18"/>
          <w:szCs w:val="18"/>
          <w:lang w:val="de-DE"/>
        </w:rPr>
        <w:t xml:space="preserve"> Apex (PD II), LWC, JavaScript, SOQL/SOSL, Flow, Platform Events, asynchrones Apex, Ausführungssemantik (User Mode, Sharing), Service Cloud, Omni-Channel</w:t>
      </w:r>
    </w:p>
    <w:p w14:paraId="745865D0" w14:textId="77777777" w:rsidR="00207AD1" w:rsidRDefault="00207AD1">
      <w:pPr>
        <w:pStyle w:val="NormalWeb"/>
        <w:rPr>
          <w:rFonts w:ascii="Calibri" w:hAnsi="Calibri" w:cs="Calibri"/>
          <w:color w:val="1B2330"/>
          <w:sz w:val="18"/>
          <w:szCs w:val="18"/>
          <w:lang w:val="de-DE"/>
        </w:rPr>
      </w:pPr>
      <w:r>
        <w:rPr>
          <w:rFonts w:ascii="Calibri" w:hAnsi="Calibri" w:cs="Calibri"/>
          <w:b/>
          <w:bCs/>
          <w:color w:val="1B2330"/>
          <w:sz w:val="18"/>
          <w:szCs w:val="18"/>
          <w:lang w:val="de-DE"/>
        </w:rPr>
        <w:t>Außerdem:</w:t>
      </w:r>
      <w:r>
        <w:rPr>
          <w:rFonts w:ascii="Calibri" w:hAnsi="Calibri" w:cs="Calibri"/>
          <w:color w:val="1B2330"/>
          <w:sz w:val="18"/>
          <w:szCs w:val="18"/>
          <w:lang w:val="de-DE"/>
        </w:rPr>
        <w:t xml:space="preserve"> Java (Arbeitskenntnisse aus der Testautomatisierung; nicht produktiv eingesetzt), HTML/CSS, SQL</w:t>
      </w:r>
    </w:p>
    <w:p w14:paraId="7E46E4A1" w14:textId="77777777" w:rsidR="00207AD1" w:rsidRDefault="00207AD1">
      <w:pPr>
        <w:pStyle w:val="NormalWeb"/>
        <w:rPr>
          <w:rFonts w:ascii="Calibri" w:hAnsi="Calibri" w:cs="Calibri"/>
          <w:color w:val="1B2330"/>
          <w:sz w:val="18"/>
          <w:szCs w:val="18"/>
          <w:lang w:val="de-DE"/>
        </w:rPr>
      </w:pPr>
      <w:r>
        <w:rPr>
          <w:rFonts w:ascii="Calibri" w:hAnsi="Calibri" w:cs="Calibri"/>
          <w:b/>
          <w:bCs/>
          <w:color w:val="1B2330"/>
          <w:sz w:val="18"/>
          <w:szCs w:val="18"/>
          <w:lang w:val="de-DE"/>
        </w:rPr>
        <w:t>DevOps:</w:t>
      </w:r>
      <w:r>
        <w:rPr>
          <w:rFonts w:ascii="Calibri" w:hAnsi="Calibri" w:cs="Calibri"/>
          <w:color w:val="1B2330"/>
          <w:sz w:val="18"/>
          <w:szCs w:val="18"/>
          <w:lang w:val="de-DE"/>
        </w:rPr>
        <w:t xml:space="preserve"> Salesforce DX, Managed 2GP, Vorbereitung AppExchange Security Review, Code Analyzer / PMD, GitHub Actions, ADRs, arc42</w:t>
      </w:r>
    </w:p>
    <w:p w14:paraId="00BDEF4D" w14:textId="77777777" w:rsidR="00207AD1" w:rsidRDefault="00207AD1">
      <w:pPr>
        <w:pStyle w:val="Heading2"/>
        <w:rPr>
          <w:rFonts w:ascii="Calibri" w:eastAsia="Times New Roman" w:hAnsi="Calibri" w:cs="Calibri"/>
          <w:lang w:val="de-DE"/>
        </w:rPr>
      </w:pPr>
      <w:r>
        <w:rPr>
          <w:rFonts w:ascii="Calibri" w:eastAsia="Times New Roman" w:hAnsi="Calibri" w:cs="Calibri"/>
          <w:lang w:val="de-DE"/>
        </w:rPr>
        <w:t>Salesforce-Zertifikate (10)</w:t>
      </w:r>
    </w:p>
    <w:p w14:paraId="1192055D" w14:textId="77777777" w:rsidR="00207AD1" w:rsidRDefault="00207AD1">
      <w:pPr>
        <w:pStyle w:val="NormalWeb"/>
        <w:rPr>
          <w:rFonts w:ascii="Calibri" w:hAnsi="Calibri" w:cs="Calibri"/>
          <w:color w:val="1B2330"/>
          <w:sz w:val="18"/>
          <w:szCs w:val="18"/>
          <w:lang w:val="de-DE"/>
        </w:rPr>
      </w:pPr>
      <w:r>
        <w:rPr>
          <w:rFonts w:ascii="Calibri" w:hAnsi="Calibri" w:cs="Calibri"/>
          <w:b/>
          <w:bCs/>
          <w:color w:val="1B2330"/>
          <w:sz w:val="18"/>
          <w:szCs w:val="18"/>
          <w:lang w:val="de-DE"/>
        </w:rPr>
        <w:lastRenderedPageBreak/>
        <w:t>Revenue &amp; Industry:</w:t>
      </w:r>
      <w:r>
        <w:rPr>
          <w:rFonts w:ascii="Calibri" w:hAnsi="Calibri" w:cs="Calibri"/>
          <w:color w:val="1B2330"/>
          <w:sz w:val="18"/>
          <w:szCs w:val="18"/>
          <w:lang w:val="de-DE"/>
        </w:rPr>
        <w:t xml:space="preserve"> CPQ Administrator · Industries CPQ Developer · OmniStudio Developer · OmniStudio Consultant | </w:t>
      </w:r>
      <w:r>
        <w:rPr>
          <w:rFonts w:ascii="Calibri" w:hAnsi="Calibri" w:cs="Calibri"/>
          <w:b/>
          <w:bCs/>
          <w:color w:val="1B2330"/>
          <w:sz w:val="18"/>
          <w:szCs w:val="18"/>
          <w:lang w:val="de-DE"/>
        </w:rPr>
        <w:t>Plattform:</w:t>
      </w:r>
      <w:r>
        <w:rPr>
          <w:rFonts w:ascii="Calibri" w:hAnsi="Calibri" w:cs="Calibri"/>
          <w:color w:val="1B2330"/>
          <w:sz w:val="18"/>
          <w:szCs w:val="18"/>
          <w:lang w:val="de-DE"/>
        </w:rPr>
        <w:t xml:space="preserve"> Platform Developer II · Platform Developer I · Administrator · Platform App Builder | </w:t>
      </w:r>
      <w:r>
        <w:rPr>
          <w:rFonts w:ascii="Calibri" w:hAnsi="Calibri" w:cs="Calibri"/>
          <w:b/>
          <w:bCs/>
          <w:color w:val="1B2330"/>
          <w:sz w:val="18"/>
          <w:szCs w:val="18"/>
          <w:lang w:val="de-DE"/>
        </w:rPr>
        <w:t>KI:</w:t>
      </w:r>
      <w:r>
        <w:rPr>
          <w:rFonts w:ascii="Calibri" w:hAnsi="Calibri" w:cs="Calibri"/>
          <w:color w:val="1B2330"/>
          <w:sz w:val="18"/>
          <w:szCs w:val="18"/>
          <w:lang w:val="de-DE"/>
        </w:rPr>
        <w:t xml:space="preserve"> Agentforce Specialist · AI Associate (inzwischen von Salesforce eingestellt)</w:t>
      </w:r>
    </w:p>
    <w:p w14:paraId="29E47098" w14:textId="77777777" w:rsidR="00207AD1" w:rsidRDefault="00207AD1">
      <w:pPr>
        <w:pStyle w:val="NormalWeb"/>
        <w:rPr>
          <w:rFonts w:ascii="Calibri" w:hAnsi="Calibri" w:cs="Calibri"/>
          <w:color w:val="1B2330"/>
          <w:sz w:val="18"/>
          <w:szCs w:val="18"/>
          <w:lang w:val="de-DE"/>
        </w:rPr>
      </w:pPr>
      <w:r>
        <w:rPr>
          <w:rFonts w:ascii="Calibri" w:hAnsi="Calibri" w:cs="Calibri"/>
          <w:b/>
          <w:bCs/>
          <w:color w:val="1B2330"/>
          <w:sz w:val="18"/>
          <w:szCs w:val="18"/>
          <w:lang w:val="de-DE"/>
        </w:rPr>
        <w:t>Trailhead:</w:t>
      </w:r>
      <w:r>
        <w:rPr>
          <w:rFonts w:ascii="Calibri" w:hAnsi="Calibri" w:cs="Calibri"/>
          <w:color w:val="1B2330"/>
          <w:sz w:val="18"/>
          <w:szCs w:val="18"/>
          <w:lang w:val="de-DE"/>
        </w:rPr>
        <w:t xml:space="preserve"> Five Star Ranger · 518 Badges · 8 Superbadges (Advanced Apex Specialist, Apex Specialist, Apex Callouts, Apex Web Services, Salesforce Inbound Integration Specialist, Named Credentials, Platform Events, Platform API)</w:t>
      </w:r>
    </w:p>
    <w:p w14:paraId="3BC031DA" w14:textId="77777777" w:rsidR="00207AD1" w:rsidRDefault="00207AD1">
      <w:pPr>
        <w:pStyle w:val="Heading2"/>
        <w:rPr>
          <w:rFonts w:ascii="Calibri" w:eastAsia="Times New Roman" w:hAnsi="Calibri" w:cs="Calibri"/>
          <w:lang w:val="de-DE"/>
        </w:rPr>
      </w:pPr>
      <w:r>
        <w:rPr>
          <w:rFonts w:ascii="Calibri" w:eastAsia="Times New Roman" w:hAnsi="Calibri" w:cs="Calibri"/>
          <w:lang w:val="de-DE"/>
        </w:rPr>
        <w:t>Ausbildung</w:t>
      </w:r>
    </w:p>
    <w:p w14:paraId="574543FC" w14:textId="77777777" w:rsidR="00207AD1" w:rsidRDefault="00207AD1">
      <w:pPr>
        <w:pStyle w:val="NormalWeb"/>
        <w:rPr>
          <w:rFonts w:ascii="Calibri" w:hAnsi="Calibri" w:cs="Calibri"/>
          <w:color w:val="1B2330"/>
          <w:sz w:val="18"/>
          <w:szCs w:val="18"/>
          <w:lang w:val="de-DE"/>
        </w:rPr>
      </w:pPr>
      <w:r>
        <w:rPr>
          <w:rFonts w:ascii="Calibri" w:hAnsi="Calibri" w:cs="Calibri"/>
          <w:b/>
          <w:bCs/>
          <w:color w:val="1B2330"/>
          <w:sz w:val="18"/>
          <w:szCs w:val="18"/>
          <w:lang w:val="de-DE"/>
        </w:rPr>
        <w:t>MSc, Computer Software Engineering</w:t>
      </w:r>
      <w:r>
        <w:rPr>
          <w:rFonts w:ascii="Calibri" w:hAnsi="Calibri" w:cs="Calibri"/>
          <w:color w:val="1B2330"/>
          <w:sz w:val="18"/>
          <w:szCs w:val="18"/>
          <w:lang w:val="de-DE"/>
        </w:rPr>
        <w:t xml:space="preserve"> — North American University · 2021–2023</w:t>
      </w:r>
    </w:p>
    <w:p w14:paraId="174DFD28" w14:textId="77777777" w:rsidR="00207AD1" w:rsidRDefault="00207AD1">
      <w:pPr>
        <w:pStyle w:val="NormalWeb"/>
        <w:rPr>
          <w:rFonts w:ascii="Calibri" w:hAnsi="Calibri" w:cs="Calibri"/>
          <w:color w:val="1B2330"/>
          <w:sz w:val="18"/>
          <w:szCs w:val="18"/>
          <w:lang w:val="de-DE"/>
        </w:rPr>
      </w:pPr>
      <w:r>
        <w:rPr>
          <w:rFonts w:ascii="Calibri" w:hAnsi="Calibri" w:cs="Calibri"/>
          <w:b/>
          <w:bCs/>
          <w:color w:val="1B2330"/>
          <w:sz w:val="18"/>
          <w:szCs w:val="18"/>
          <w:lang w:val="de-DE"/>
        </w:rPr>
        <w:t>Postgraduierten-Abschluss, Informationstechnologie</w:t>
      </w:r>
      <w:r>
        <w:rPr>
          <w:rFonts w:ascii="Calibri" w:hAnsi="Calibri" w:cs="Calibri"/>
          <w:color w:val="1B2330"/>
          <w:sz w:val="18"/>
          <w:szCs w:val="18"/>
          <w:lang w:val="de-DE"/>
        </w:rPr>
        <w:t xml:space="preserve"> — Vistula University · 2019–2020</w:t>
      </w:r>
    </w:p>
    <w:p w14:paraId="25F59C82" w14:textId="77777777" w:rsidR="00207AD1" w:rsidRDefault="00207AD1">
      <w:pPr>
        <w:pStyle w:val="NormalWeb"/>
        <w:rPr>
          <w:rFonts w:ascii="Calibri" w:hAnsi="Calibri" w:cs="Calibri"/>
          <w:color w:val="1B2330"/>
          <w:sz w:val="18"/>
          <w:szCs w:val="18"/>
          <w:lang w:val="de-DE"/>
        </w:rPr>
      </w:pPr>
      <w:r>
        <w:rPr>
          <w:rFonts w:ascii="Calibri" w:hAnsi="Calibri" w:cs="Calibri"/>
          <w:b/>
          <w:bCs/>
          <w:color w:val="1B2330"/>
          <w:sz w:val="18"/>
          <w:szCs w:val="18"/>
          <w:lang w:val="de-DE"/>
        </w:rPr>
        <w:t>Bachelor of Education, Türkische Sprache &amp; Literatur</w:t>
      </w:r>
      <w:r>
        <w:rPr>
          <w:rFonts w:ascii="Calibri" w:hAnsi="Calibri" w:cs="Calibri"/>
          <w:color w:val="1B2330"/>
          <w:sz w:val="18"/>
          <w:szCs w:val="18"/>
          <w:lang w:val="de-DE"/>
        </w:rPr>
        <w:t xml:space="preserve"> — Balıkesir Universität · 1996–2000</w:t>
      </w:r>
    </w:p>
    <w:p w14:paraId="5A81EAD0" w14:textId="77777777" w:rsidR="00207AD1" w:rsidRDefault="00207AD1">
      <w:pPr>
        <w:pStyle w:val="Heading2"/>
        <w:rPr>
          <w:rFonts w:ascii="Calibri" w:eastAsia="Times New Roman" w:hAnsi="Calibri" w:cs="Calibri"/>
          <w:lang w:val="de-DE"/>
        </w:rPr>
      </w:pPr>
      <w:r>
        <w:rPr>
          <w:rFonts w:ascii="Calibri" w:eastAsia="Times New Roman" w:hAnsi="Calibri" w:cs="Calibri"/>
          <w:lang w:val="de-DE"/>
        </w:rPr>
        <w:t>Frühere Laufbahn — Arbeit mit Menschen</w:t>
      </w:r>
    </w:p>
    <w:p w14:paraId="451A0142" w14:textId="77777777" w:rsidR="00207AD1" w:rsidRDefault="00207AD1">
      <w:pPr>
        <w:pStyle w:val="NormalWeb"/>
        <w:rPr>
          <w:rFonts w:ascii="Calibri" w:hAnsi="Calibri" w:cs="Calibri"/>
          <w:color w:val="1B2330"/>
          <w:sz w:val="18"/>
          <w:szCs w:val="18"/>
          <w:lang w:val="de-DE"/>
        </w:rPr>
      </w:pPr>
      <w:r>
        <w:rPr>
          <w:rFonts w:ascii="Calibri" w:hAnsi="Calibri" w:cs="Calibri"/>
          <w:b/>
          <w:bCs/>
          <w:color w:val="1B2330"/>
          <w:sz w:val="18"/>
          <w:szCs w:val="18"/>
          <w:lang w:val="de-DE"/>
        </w:rPr>
        <w:t>2000–2020 — zwanzig Jahre im Bildungswesen:</w:t>
      </w:r>
      <w:r>
        <w:rPr>
          <w:rFonts w:ascii="Calibri" w:hAnsi="Calibri" w:cs="Calibri"/>
          <w:color w:val="1B2330"/>
          <w:sz w:val="18"/>
          <w:szCs w:val="18"/>
          <w:lang w:val="de-DE"/>
        </w:rPr>
        <w:t xml:space="preserve"> Lehrer, dann Schulleiter (Türkei), danach Schullaufbahnberater an einem internationalen College (Nigeria). Zwei Jahrzehnte strukturierte Bedarfsklärung, komplexe Optionen verständlich erklären und Abstimmung über Kulturen hinweg — die Grundlage dafür, aus einem Kundenproblem eine Lösung zu machen und vor technischem wie nicht-technischem Publikum zu bestehen.</w:t>
      </w:r>
    </w:p>
    <w:p w14:paraId="11AF16B3" w14:textId="77777777" w:rsidR="00207AD1" w:rsidRDefault="00207AD1">
      <w:pPr>
        <w:pStyle w:val="Heading2"/>
        <w:rPr>
          <w:rFonts w:ascii="Calibri" w:eastAsia="Times New Roman" w:hAnsi="Calibri" w:cs="Calibri"/>
          <w:lang w:val="de-DE"/>
        </w:rPr>
      </w:pPr>
      <w:r>
        <w:rPr>
          <w:rFonts w:ascii="Calibri" w:eastAsia="Times New Roman" w:hAnsi="Calibri" w:cs="Calibri"/>
          <w:lang w:val="de-DE"/>
        </w:rPr>
        <w:t>Community</w:t>
      </w:r>
    </w:p>
    <w:p w14:paraId="05067CB7" w14:textId="77777777" w:rsidR="00207AD1" w:rsidRDefault="00207AD1">
      <w:pPr>
        <w:pStyle w:val="NormalWeb"/>
        <w:rPr>
          <w:rFonts w:ascii="Calibri" w:hAnsi="Calibri" w:cs="Calibri"/>
          <w:color w:val="1B2330"/>
          <w:sz w:val="18"/>
          <w:szCs w:val="18"/>
          <w:lang w:val="de-DE"/>
        </w:rPr>
      </w:pPr>
      <w:r>
        <w:rPr>
          <w:rFonts w:ascii="Calibri" w:hAnsi="Calibri" w:cs="Calibri"/>
          <w:color w:val="1B2330"/>
          <w:sz w:val="18"/>
          <w:szCs w:val="18"/>
          <w:lang w:val="de-DE"/>
        </w:rPr>
        <w:t xml:space="preserve">Betreiber der LinkedIn-Gruppe </w:t>
      </w:r>
      <w:r>
        <w:rPr>
          <w:rFonts w:ascii="Calibri" w:hAnsi="Calibri" w:cs="Calibri"/>
          <w:i/>
          <w:iCs/>
          <w:color w:val="1B2330"/>
          <w:sz w:val="18"/>
          <w:szCs w:val="18"/>
          <w:lang w:val="de-DE"/>
        </w:rPr>
        <w:t>Salesforce Revenue Cloud | Germany</w:t>
      </w:r>
      <w:r>
        <w:rPr>
          <w:rFonts w:ascii="Calibri" w:hAnsi="Calibri" w:cs="Calibri"/>
          <w:color w:val="1B2330"/>
          <w:sz w:val="18"/>
          <w:szCs w:val="18"/>
          <w:lang w:val="de-DE"/>
        </w:rPr>
        <w:t xml:space="preserve"> (300+ Mitglieder). 133 technische Leitfäden auf salesforcewithmaksu.com, davon 27 zu Revenue Cloud und CPQ; rund 13.000 Follower auf LinkedIn.</w:t>
      </w:r>
    </w:p>
    <w:p w14:paraId="64EB27FC" w14:textId="77777777" w:rsidR="00207AD1" w:rsidRDefault="00207AD1">
      <w:pPr>
        <w:pStyle w:val="Heading2"/>
        <w:rPr>
          <w:rFonts w:ascii="Calibri" w:eastAsia="Times New Roman" w:hAnsi="Calibri" w:cs="Calibri"/>
          <w:lang w:val="de-DE"/>
        </w:rPr>
      </w:pPr>
      <w:r>
        <w:rPr>
          <w:rFonts w:ascii="Calibri" w:eastAsia="Times New Roman" w:hAnsi="Calibri" w:cs="Calibri"/>
          <w:lang w:val="de-DE"/>
        </w:rPr>
        <w:t>Verfügbarkeit</w:t>
      </w:r>
    </w:p>
    <w:p w14:paraId="2C69CE88" w14:textId="77777777" w:rsidR="00207AD1" w:rsidRDefault="00207AD1">
      <w:pPr>
        <w:pStyle w:val="NormalWeb"/>
        <w:rPr>
          <w:rFonts w:ascii="Calibri" w:hAnsi="Calibri" w:cs="Calibri"/>
          <w:color w:val="1B2330"/>
          <w:sz w:val="18"/>
          <w:szCs w:val="18"/>
          <w:lang w:val="de-DE"/>
        </w:rPr>
      </w:pPr>
      <w:r>
        <w:rPr>
          <w:rFonts w:ascii="Calibri" w:hAnsi="Calibri" w:cs="Calibri"/>
          <w:color w:val="1B2330"/>
          <w:sz w:val="18"/>
          <w:szCs w:val="18"/>
          <w:lang w:val="de-DE"/>
        </w:rPr>
        <w:t>Offen für Positionen als Entwickler oder Berater für Salesforce Revenue Cloud, CPQ und Quote-to-Cash in Deutschland und der DACH-Region. Umzugsbereit, Schwerpunkt Köln / NRW, und gern mit rund 25 % Reisetätigkeit, um direkt beim Kunden zu arbeiten. Für Deutschland benötige ich eine Arbeitserlaubnis (Weg über die Blaue Karte EU); für den Arbeitgeber ist keine Sponsor-Lizenz erforderlich. Keine Kündigungsfrist. Mein Deutsch liegt bei B1; fachlich arbeite ich auf Englisch.</w:t>
      </w:r>
    </w:p>
    <w:p w14:paraId="72250507" w14:textId="77777777" w:rsidR="00207AD1" w:rsidRDefault="00207AD1">
      <w:pPr>
        <w:pStyle w:val="NormalWeb"/>
        <w:rPr>
          <w:rFonts w:ascii="Calibri" w:hAnsi="Calibri" w:cs="Calibri"/>
          <w:color w:val="1B2330"/>
          <w:sz w:val="18"/>
          <w:szCs w:val="18"/>
          <w:lang w:val="de-DE"/>
        </w:rPr>
      </w:pPr>
      <w:r>
        <w:rPr>
          <w:rFonts w:ascii="Calibri" w:hAnsi="Calibri" w:cs="Calibri"/>
          <w:b/>
          <w:bCs/>
          <w:color w:val="1B2330"/>
          <w:sz w:val="18"/>
          <w:szCs w:val="18"/>
          <w:lang w:val="de-DE"/>
        </w:rPr>
        <w:t>Acht Repositories sind öffentlich</w:t>
      </w:r>
      <w:r>
        <w:rPr>
          <w:rFonts w:ascii="Calibri" w:hAnsi="Calibri" w:cs="Calibri"/>
          <w:color w:val="1B2330"/>
          <w:sz w:val="18"/>
          <w:szCs w:val="18"/>
          <w:lang w:val="de-DE"/>
        </w:rPr>
        <w:t xml:space="preserve"> und ohne Nachfrage einsehbar — darunter </w:t>
      </w:r>
      <w:r>
        <w:rPr>
          <w:rFonts w:ascii="Calibri" w:hAnsi="Calibri" w:cs="Calibri"/>
          <w:b/>
          <w:bCs/>
          <w:color w:val="1B2330"/>
          <w:sz w:val="18"/>
          <w:szCs w:val="18"/>
          <w:lang w:val="de-DE"/>
        </w:rPr>
        <w:t>TechnoStore</w:t>
      </w:r>
      <w:r>
        <w:rPr>
          <w:rFonts w:ascii="Calibri" w:hAnsi="Calibri" w:cs="Calibri"/>
          <w:color w:val="1B2330"/>
          <w:sz w:val="18"/>
          <w:szCs w:val="18"/>
          <w:lang w:val="de-DE"/>
        </w:rPr>
        <w:t xml:space="preserve"> (oben), der </w:t>
      </w:r>
      <w:r>
        <w:rPr>
          <w:rFonts w:ascii="Calibri" w:hAnsi="Calibri" w:cs="Calibri"/>
          <w:b/>
          <w:bCs/>
          <w:color w:val="1B2330"/>
          <w:sz w:val="18"/>
          <w:szCs w:val="18"/>
          <w:lang w:val="de-DE"/>
        </w:rPr>
        <w:t>Agent Authority Benchmark</w:t>
      </w:r>
      <w:r>
        <w:rPr>
          <w:rFonts w:ascii="Calibri" w:hAnsi="Calibri" w:cs="Calibri"/>
          <w:color w:val="1B2330"/>
          <w:sz w:val="18"/>
          <w:szCs w:val="18"/>
          <w:lang w:val="de-DE"/>
        </w:rPr>
        <w:t xml:space="preserve"> (github.com/aksumustafa1625/agent-authority-benchmark: 28 Apex-Fälle, 21 von einer Live-Org entschieden) und </w:t>
      </w:r>
      <w:r>
        <w:rPr>
          <w:rFonts w:ascii="Calibri" w:hAnsi="Calibri" w:cs="Calibri"/>
          <w:b/>
          <w:bCs/>
          <w:color w:val="1B2330"/>
          <w:sz w:val="18"/>
          <w:szCs w:val="18"/>
          <w:lang w:val="de-DE"/>
        </w:rPr>
        <w:t>VoltStream</w:t>
      </w:r>
      <w:r>
        <w:rPr>
          <w:rFonts w:ascii="Calibri" w:hAnsi="Calibri" w:cs="Calibri"/>
          <w:color w:val="1B2330"/>
          <w:sz w:val="18"/>
          <w:szCs w:val="18"/>
          <w:lang w:val="de-DE"/>
        </w:rPr>
        <w:t xml:space="preserve">. Über alle Repositories hinweg gibt es </w:t>
      </w:r>
      <w:r>
        <w:rPr>
          <w:rFonts w:ascii="Calibri" w:hAnsi="Calibri" w:cs="Calibri"/>
          <w:b/>
          <w:bCs/>
          <w:color w:val="1B2330"/>
          <w:sz w:val="18"/>
          <w:szCs w:val="18"/>
          <w:lang w:val="de-DE"/>
        </w:rPr>
        <w:t>104 Architecture Decision Records</w:t>
      </w:r>
      <w:r>
        <w:rPr>
          <w:rFonts w:ascii="Calibri" w:hAnsi="Calibri" w:cs="Calibri"/>
          <w:color w:val="1B2330"/>
          <w:sz w:val="18"/>
          <w:szCs w:val="18"/>
          <w:lang w:val="de-DE"/>
        </w:rPr>
        <w:t xml:space="preserve">. Configra, Prüfstand, PreFlight, Nabz und Aktenlage bleiben privat; Repo-Zugang und Code-Walkthroughs auf Anfrage. Jedes Projekt hat eine Seite unter </w:t>
      </w:r>
      <w:r>
        <w:rPr>
          <w:rFonts w:ascii="Calibri" w:hAnsi="Calibri" w:cs="Calibri"/>
          <w:b/>
          <w:bCs/>
          <w:color w:val="1B2330"/>
          <w:sz w:val="18"/>
          <w:szCs w:val="18"/>
          <w:lang w:val="de-DE"/>
        </w:rPr>
        <w:t>mustafaaksu.dev/de/projects</w:t>
      </w:r>
      <w:r>
        <w:rPr>
          <w:rFonts w:ascii="Calibri" w:hAnsi="Calibri" w:cs="Calibri"/>
          <w:color w:val="1B2330"/>
          <w:sz w:val="18"/>
          <w:szCs w:val="18"/>
          <w:lang w:val="de-DE"/>
        </w:rPr>
        <w:t xml:space="preserve"> — ausgearbeitete Architektur, Screenshots und aufg</w:t>
      </w:r>
      <w:r>
        <w:rPr>
          <w:rFonts w:ascii="Calibri" w:hAnsi="Calibri" w:cs="Calibri"/>
          <w:color w:val="1B2330"/>
          <w:sz w:val="18"/>
          <w:szCs w:val="18"/>
          <w:lang w:val="de-DE"/>
        </w:rPr>
        <w:t>ezeichnete Walkthroughs.</w:t>
      </w:r>
    </w:p>
    <w:sectPr w:rsidR="0000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D2742"/>
    <w:multiLevelType w:val="multilevel"/>
    <w:tmpl w:val="7BB44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124BA9"/>
    <w:multiLevelType w:val="multilevel"/>
    <w:tmpl w:val="9E06B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2C6ECD"/>
    <w:multiLevelType w:val="multilevel"/>
    <w:tmpl w:val="EFF4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5C30F8"/>
    <w:multiLevelType w:val="multilevel"/>
    <w:tmpl w:val="B086A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6378AC"/>
    <w:multiLevelType w:val="multilevel"/>
    <w:tmpl w:val="7FC2A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5308FF"/>
    <w:multiLevelType w:val="multilevel"/>
    <w:tmpl w:val="870A0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8032970">
    <w:abstractNumId w:val="5"/>
  </w:num>
  <w:num w:numId="2" w16cid:durableId="1372026491">
    <w:abstractNumId w:val="1"/>
  </w:num>
  <w:num w:numId="3" w16cid:durableId="529491187">
    <w:abstractNumId w:val="2"/>
  </w:num>
  <w:num w:numId="4" w16cid:durableId="1869904948">
    <w:abstractNumId w:val="4"/>
  </w:num>
  <w:num w:numId="5" w16cid:durableId="1517038124">
    <w:abstractNumId w:val="3"/>
  </w:num>
  <w:num w:numId="6" w16cid:durableId="968629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07AD1"/>
    <w:rsid w:val="00207AD1"/>
    <w:rsid w:val="00BA3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C504E1"/>
  <w15:chartTrackingRefBased/>
  <w15:docId w15:val="{0291DCF8-C8F9-4E57-9F13-FF8936228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outlineLvl w:val="0"/>
    </w:pPr>
    <w:rPr>
      <w:b/>
      <w:bCs/>
      <w:color w:val="0B2545"/>
      <w:kern w:val="36"/>
      <w:sz w:val="42"/>
      <w:szCs w:val="42"/>
    </w:rPr>
  </w:style>
  <w:style w:type="paragraph" w:styleId="Heading2">
    <w:name w:val="heading 2"/>
    <w:basedOn w:val="Normal"/>
    <w:link w:val="Heading2Char"/>
    <w:uiPriority w:val="9"/>
    <w:qFormat/>
    <w:pPr>
      <w:spacing w:before="90" w:after="15"/>
      <w:outlineLvl w:val="1"/>
    </w:pPr>
    <w:rPr>
      <w:b/>
      <w:bCs/>
      <w:caps/>
      <w:color w:val="0B2545"/>
      <w:spacing w:val="6"/>
      <w:sz w:val="18"/>
      <w:szCs w:val="18"/>
    </w:rPr>
  </w:style>
  <w:style w:type="paragraph" w:styleId="Heading3">
    <w:name w:val="heading 3"/>
    <w:basedOn w:val="Normal"/>
    <w:link w:val="Heading3Char"/>
    <w:uiPriority w:val="9"/>
    <w:qFormat/>
    <w:pPr>
      <w:spacing w:before="60"/>
      <w:outlineLvl w:val="2"/>
    </w:pPr>
    <w:rPr>
      <w:b/>
      <w:bCs/>
      <w:color w:val="1F5FAE"/>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strike w:val="0"/>
      <w:dstrike w:val="0"/>
      <w:color w:val="1F5FAE"/>
      <w:u w:val="none"/>
      <w:effect w:val="none"/>
    </w:rPr>
  </w:style>
  <w:style w:type="character" w:styleId="FollowedHyperlink">
    <w:name w:val="FollowedHyperlink"/>
    <w:basedOn w:val="DefaultParagraphFont"/>
    <w:uiPriority w:val="99"/>
    <w:semiHidden/>
    <w:unhideWhenUsed/>
    <w:rPr>
      <w:strike w:val="0"/>
      <w:dstrike w:val="0"/>
      <w:color w:val="1F5FAE"/>
      <w:u w:val="none"/>
      <w:effect w:val="none"/>
    </w:rPr>
  </w:style>
  <w:style w:type="character" w:styleId="HTMLCode">
    <w:name w:val="HTML Code"/>
    <w:basedOn w:val="DefaultParagraphFont"/>
    <w:uiPriority w:val="99"/>
    <w:semiHidden/>
    <w:unhideWhenUsed/>
    <w:rPr>
      <w:rFonts w:ascii="Consolas" w:eastAsiaTheme="minorEastAsia" w:hAnsi="Consolas" w:cs="Courier New" w:hint="default"/>
      <w:sz w:val="16"/>
      <w:szCs w:val="1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paragraph" w:customStyle="1" w:styleId="msonormal0">
    <w:name w:val="msonormal"/>
    <w:basedOn w:val="Normal"/>
    <w:pPr>
      <w:spacing w:after="30"/>
    </w:pPr>
  </w:style>
  <w:style w:type="paragraph" w:styleId="NormalWeb">
    <w:name w:val="Normal (Web)"/>
    <w:basedOn w:val="Normal"/>
    <w:uiPriority w:val="99"/>
    <w:semiHidden/>
    <w:unhideWhenUsed/>
    <w:pPr>
      <w:spacing w:after="30"/>
    </w:pPr>
  </w:style>
  <w:style w:type="paragraph" w:customStyle="1" w:styleId="sub">
    <w:name w:val="sub"/>
    <w:basedOn w:val="Normal"/>
    <w:pPr>
      <w:spacing w:before="30" w:after="15"/>
    </w:pPr>
    <w:rPr>
      <w:b/>
      <w:bCs/>
      <w:color w:val="1F5FAE"/>
      <w:sz w:val="21"/>
      <w:szCs w:val="21"/>
    </w:rPr>
  </w:style>
  <w:style w:type="paragraph" w:customStyle="1" w:styleId="line">
    <w:name w:val="line"/>
    <w:basedOn w:val="Normal"/>
    <w:pPr>
      <w:spacing w:after="23"/>
    </w:pPr>
    <w:rPr>
      <w:color w:val="4A5566"/>
      <w:sz w:val="17"/>
      <w:szCs w:val="17"/>
    </w:rPr>
  </w:style>
  <w:style w:type="paragraph" w:customStyle="1" w:styleId="contact">
    <w:name w:val="contact"/>
    <w:basedOn w:val="Normal"/>
    <w:pPr>
      <w:spacing w:before="15" w:after="23"/>
    </w:pPr>
    <w:rPr>
      <w:sz w:val="17"/>
      <w:szCs w:val="17"/>
    </w:rPr>
  </w:style>
  <w:style w:type="paragraph" w:customStyle="1" w:styleId="note">
    <w:name w:val="note"/>
    <w:basedOn w:val="Normal"/>
    <w:pPr>
      <w:spacing w:after="15"/>
    </w:pPr>
    <w:rPr>
      <w:i/>
      <w:iCs/>
      <w:color w:val="333C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222142">
      <w:marLeft w:val="0"/>
      <w:marRight w:val="0"/>
      <w:marTop w:val="0"/>
      <w:marBottom w:val="0"/>
      <w:divBdr>
        <w:top w:val="none" w:sz="0" w:space="0" w:color="auto"/>
        <w:left w:val="none" w:sz="0" w:space="0" w:color="auto"/>
        <w:bottom w:val="none" w:sz="0" w:space="0" w:color="auto"/>
        <w:right w:val="none" w:sz="0" w:space="0" w:color="auto"/>
      </w:divBdr>
      <w:divsChild>
        <w:div w:id="336033941">
          <w:marLeft w:val="0"/>
          <w:marRight w:val="0"/>
          <w:marTop w:val="0"/>
          <w:marBottom w:val="0"/>
          <w:divBdr>
            <w:top w:val="none" w:sz="0" w:space="0" w:color="auto"/>
            <w:left w:val="none" w:sz="0" w:space="0" w:color="auto"/>
            <w:bottom w:val="none" w:sz="0" w:space="0" w:color="auto"/>
            <w:right w:val="none" w:sz="0" w:space="0" w:color="auto"/>
          </w:divBdr>
        </w:div>
      </w:divsChild>
    </w:div>
    <w:div w:id="241332803">
      <w:marLeft w:val="0"/>
      <w:marRight w:val="0"/>
      <w:marTop w:val="0"/>
      <w:marBottom w:val="0"/>
      <w:divBdr>
        <w:top w:val="none" w:sz="0" w:space="0" w:color="auto"/>
        <w:left w:val="none" w:sz="0" w:space="0" w:color="auto"/>
        <w:bottom w:val="none" w:sz="0" w:space="0" w:color="auto"/>
        <w:right w:val="none" w:sz="0" w:space="0" w:color="auto"/>
      </w:divBdr>
      <w:divsChild>
        <w:div w:id="1837575776">
          <w:marLeft w:val="0"/>
          <w:marRight w:val="0"/>
          <w:marTop w:val="0"/>
          <w:marBottom w:val="0"/>
          <w:divBdr>
            <w:top w:val="none" w:sz="0" w:space="0" w:color="auto"/>
            <w:left w:val="none" w:sz="0" w:space="0" w:color="auto"/>
            <w:bottom w:val="none" w:sz="0" w:space="0" w:color="auto"/>
            <w:right w:val="none" w:sz="0" w:space="0" w:color="auto"/>
          </w:divBdr>
        </w:div>
      </w:divsChild>
    </w:div>
    <w:div w:id="327631944">
      <w:marLeft w:val="0"/>
      <w:marRight w:val="0"/>
      <w:marTop w:val="0"/>
      <w:marBottom w:val="0"/>
      <w:divBdr>
        <w:top w:val="none" w:sz="0" w:space="0" w:color="auto"/>
        <w:left w:val="none" w:sz="0" w:space="0" w:color="auto"/>
        <w:bottom w:val="none" w:sz="0" w:space="0" w:color="auto"/>
        <w:right w:val="none" w:sz="0" w:space="0" w:color="auto"/>
      </w:divBdr>
      <w:divsChild>
        <w:div w:id="358354916">
          <w:marLeft w:val="0"/>
          <w:marRight w:val="0"/>
          <w:marTop w:val="0"/>
          <w:marBottom w:val="0"/>
          <w:divBdr>
            <w:top w:val="none" w:sz="0" w:space="0" w:color="auto"/>
            <w:left w:val="none" w:sz="0" w:space="0" w:color="auto"/>
            <w:bottom w:val="none" w:sz="0" w:space="0" w:color="auto"/>
            <w:right w:val="none" w:sz="0" w:space="0" w:color="auto"/>
          </w:divBdr>
        </w:div>
      </w:divsChild>
    </w:div>
    <w:div w:id="428893210">
      <w:marLeft w:val="0"/>
      <w:marRight w:val="0"/>
      <w:marTop w:val="0"/>
      <w:marBottom w:val="0"/>
      <w:divBdr>
        <w:top w:val="none" w:sz="0" w:space="0" w:color="auto"/>
        <w:left w:val="none" w:sz="0" w:space="0" w:color="auto"/>
        <w:bottom w:val="none" w:sz="0" w:space="0" w:color="auto"/>
        <w:right w:val="none" w:sz="0" w:space="0" w:color="auto"/>
      </w:divBdr>
      <w:divsChild>
        <w:div w:id="1871843951">
          <w:marLeft w:val="0"/>
          <w:marRight w:val="0"/>
          <w:marTop w:val="0"/>
          <w:marBottom w:val="0"/>
          <w:divBdr>
            <w:top w:val="none" w:sz="0" w:space="0" w:color="auto"/>
            <w:left w:val="none" w:sz="0" w:space="0" w:color="auto"/>
            <w:bottom w:val="none" w:sz="0" w:space="0" w:color="auto"/>
            <w:right w:val="none" w:sz="0" w:space="0" w:color="auto"/>
          </w:divBdr>
        </w:div>
      </w:divsChild>
    </w:div>
    <w:div w:id="811600709">
      <w:marLeft w:val="0"/>
      <w:marRight w:val="0"/>
      <w:marTop w:val="0"/>
      <w:marBottom w:val="0"/>
      <w:divBdr>
        <w:top w:val="none" w:sz="0" w:space="0" w:color="auto"/>
        <w:left w:val="none" w:sz="0" w:space="0" w:color="auto"/>
        <w:bottom w:val="none" w:sz="0" w:space="0" w:color="auto"/>
        <w:right w:val="none" w:sz="0" w:space="0" w:color="auto"/>
      </w:divBdr>
      <w:divsChild>
        <w:div w:id="381251514">
          <w:marLeft w:val="0"/>
          <w:marRight w:val="0"/>
          <w:marTop w:val="0"/>
          <w:marBottom w:val="0"/>
          <w:divBdr>
            <w:top w:val="none" w:sz="0" w:space="0" w:color="auto"/>
            <w:left w:val="none" w:sz="0" w:space="0" w:color="auto"/>
            <w:bottom w:val="none" w:sz="0" w:space="0" w:color="auto"/>
            <w:right w:val="none" w:sz="0" w:space="0" w:color="auto"/>
          </w:divBdr>
        </w:div>
      </w:divsChild>
    </w:div>
    <w:div w:id="884680366">
      <w:marLeft w:val="0"/>
      <w:marRight w:val="0"/>
      <w:marTop w:val="0"/>
      <w:marBottom w:val="0"/>
      <w:divBdr>
        <w:top w:val="none" w:sz="0" w:space="0" w:color="auto"/>
        <w:left w:val="none" w:sz="0" w:space="0" w:color="auto"/>
        <w:bottom w:val="none" w:sz="0" w:space="0" w:color="auto"/>
        <w:right w:val="none" w:sz="0" w:space="0" w:color="auto"/>
      </w:divBdr>
    </w:div>
    <w:div w:id="1405028344">
      <w:marLeft w:val="0"/>
      <w:marRight w:val="0"/>
      <w:marTop w:val="30"/>
      <w:marBottom w:val="15"/>
      <w:divBdr>
        <w:top w:val="none" w:sz="0" w:space="0" w:color="auto"/>
        <w:left w:val="none" w:sz="0" w:space="0" w:color="auto"/>
        <w:bottom w:val="none" w:sz="0" w:space="0" w:color="auto"/>
        <w:right w:val="none" w:sz="0" w:space="0" w:color="auto"/>
      </w:divBdr>
    </w:div>
    <w:div w:id="1531215247">
      <w:marLeft w:val="0"/>
      <w:marRight w:val="0"/>
      <w:marTop w:val="0"/>
      <w:marBottom w:val="0"/>
      <w:divBdr>
        <w:top w:val="none" w:sz="0" w:space="0" w:color="auto"/>
        <w:left w:val="none" w:sz="0" w:space="0" w:color="auto"/>
        <w:bottom w:val="none" w:sz="0" w:space="0" w:color="auto"/>
        <w:right w:val="none" w:sz="0" w:space="0" w:color="auto"/>
      </w:divBdr>
      <w:divsChild>
        <w:div w:id="392436313">
          <w:marLeft w:val="0"/>
          <w:marRight w:val="0"/>
          <w:marTop w:val="0"/>
          <w:marBottom w:val="0"/>
          <w:divBdr>
            <w:top w:val="none" w:sz="0" w:space="0" w:color="auto"/>
            <w:left w:val="none" w:sz="0" w:space="0" w:color="auto"/>
            <w:bottom w:val="none" w:sz="0" w:space="0" w:color="auto"/>
            <w:right w:val="none" w:sz="0" w:space="0" w:color="auto"/>
          </w:divBdr>
        </w:div>
      </w:divsChild>
    </w:div>
    <w:div w:id="2089225931">
      <w:marLeft w:val="0"/>
      <w:marRight w:val="0"/>
      <w:marTop w:val="15"/>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aksumustafa1625" TargetMode="External"/><Relationship Id="rId3" Type="http://schemas.openxmlformats.org/officeDocument/2006/relationships/settings" Target="settings.xml"/><Relationship Id="rId7" Type="http://schemas.openxmlformats.org/officeDocument/2006/relationships/hyperlink" Target="https://linkedin.com/in/salesforcewithmaks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ustafaaksu.dev" TargetMode="External"/><Relationship Id="rId11" Type="http://schemas.openxmlformats.org/officeDocument/2006/relationships/theme" Target="theme/theme1.xml"/><Relationship Id="rId5" Type="http://schemas.openxmlformats.org/officeDocument/2006/relationships/hyperlink" Target="mailto:mustafa.aksu@mustafaaksu.de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alesforce.com/trailblazer/aksumustafa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1861</Words>
  <Characters>10608</Characters>
  <Application>Microsoft Office Word</Application>
  <DocSecurity>4</DocSecurity>
  <Lines>88</Lines>
  <Paragraphs>24</Paragraphs>
  <ScaleCrop>false</ScaleCrop>
  <Company/>
  <LinksUpToDate>false</LinksUpToDate>
  <CharactersWithSpaces>12445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Mustafa Aksu — CV</dc:title>
  <dc:subject/>
  <dc:creator>Mustafa Aksu</dc:creator>
  <cp:keywords/>
  <dc:description/>
  <cp:lastModifiedBy>Mustafa Aksu</cp:lastModifiedBy>
  <cp:revision>2</cp:revision>
  <dcterms:created xsi:type="dcterms:W3CDTF">2026-09-21T09:22:00Z</dcterms:created>
  <dcterms:modified xsi:type="dcterms:W3CDTF">2026-09-21T09:22:00Z</dcterms:modified>
</cp:coreProperties>
</file>