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C6AD" w14:textId="77777777" w:rsidR="00366D9C" w:rsidRDefault="00366D9C">
      <w:pPr>
        <w:pStyle w:val="Heading1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Mustafa Aksu</w:t>
      </w:r>
    </w:p>
    <w:p w14:paraId="68EB9211" w14:textId="77777777" w:rsidR="00366D9C" w:rsidRDefault="00366D9C">
      <w:pPr>
        <w:divId w:val="932779880"/>
        <w:rPr>
          <w:rFonts w:ascii="Calibri" w:eastAsia="Times New Roman" w:hAnsi="Calibri" w:cs="Calibri"/>
          <w:b/>
          <w:bCs/>
          <w:color w:val="1F5FAE"/>
          <w:sz w:val="21"/>
          <w:szCs w:val="21"/>
          <w:lang w:val="en"/>
        </w:rPr>
      </w:pPr>
      <w:r>
        <w:rPr>
          <w:rFonts w:ascii="Calibri" w:eastAsia="Times New Roman" w:hAnsi="Calibri" w:cs="Calibri"/>
          <w:b/>
          <w:bCs/>
          <w:color w:val="1F5FAE"/>
          <w:sz w:val="21"/>
          <w:szCs w:val="21"/>
          <w:lang w:val="en"/>
        </w:rPr>
        <w:t>Salesforce Revenue Cloud Developer — Quote-to-Cash · RLM · CPQ · CLM · with Agentforce built in</w:t>
      </w:r>
    </w:p>
    <w:p w14:paraId="304F915C" w14:textId="77777777" w:rsidR="00366D9C" w:rsidRDefault="00366D9C">
      <w:pPr>
        <w:divId w:val="200290970"/>
        <w:rPr>
          <w:rFonts w:ascii="Calibri" w:eastAsia="Times New Roman" w:hAnsi="Calibri" w:cs="Calibri"/>
          <w:color w:val="4A5566"/>
          <w:sz w:val="17"/>
          <w:szCs w:val="17"/>
          <w:lang w:val="en"/>
        </w:rPr>
      </w:pPr>
      <w:r>
        <w:rPr>
          <w:rFonts w:ascii="Calibri" w:eastAsia="Times New Roman" w:hAnsi="Calibri" w:cs="Calibri"/>
          <w:color w:val="4A5566"/>
          <w:sz w:val="17"/>
          <w:szCs w:val="17"/>
          <w:lang w:val="en"/>
        </w:rPr>
        <w:t>Based in Abuja, Nigeria · UTC+1 all year · Remote or contract on European hours · English (working language) · German B1 · Turkish (native)</w:t>
      </w:r>
    </w:p>
    <w:p w14:paraId="77884192" w14:textId="77777777" w:rsidR="00366D9C" w:rsidRDefault="00366D9C">
      <w:pPr>
        <w:divId w:val="1740785518"/>
        <w:rPr>
          <w:rFonts w:ascii="Calibri" w:eastAsia="Times New Roman" w:hAnsi="Calibri" w:cs="Calibri"/>
          <w:color w:val="1B2330"/>
          <w:sz w:val="17"/>
          <w:szCs w:val="17"/>
          <w:lang w:val="en"/>
        </w:rPr>
      </w:pPr>
      <w:hyperlink r:id="rId5" w:history="1">
        <w:r>
          <w:rPr>
            <w:rStyle w:val="Hyperlink"/>
            <w:rFonts w:ascii="Calibri" w:eastAsia="Times New Roman" w:hAnsi="Calibri" w:cs="Calibri"/>
            <w:sz w:val="17"/>
            <w:szCs w:val="17"/>
            <w:lang w:val="en"/>
          </w:rPr>
          <w:t>mustafa.aksu@mustafaaksu.dev</w:t>
        </w:r>
      </w:hyperlink>
      <w:r>
        <w:rPr>
          <w:rFonts w:ascii="Calibri" w:eastAsia="Times New Roman" w:hAnsi="Calibri" w:cs="Calibri"/>
          <w:color w:val="1B2330"/>
          <w:sz w:val="17"/>
          <w:szCs w:val="17"/>
          <w:lang w:val="en"/>
        </w:rPr>
        <w:t xml:space="preserve"> · </w:t>
      </w:r>
      <w:hyperlink r:id="rId6" w:history="1">
        <w:r>
          <w:rPr>
            <w:rStyle w:val="Hyperlink"/>
            <w:rFonts w:ascii="Calibri" w:eastAsia="Times New Roman" w:hAnsi="Calibri" w:cs="Calibri"/>
            <w:sz w:val="17"/>
            <w:szCs w:val="17"/>
            <w:lang w:val="en"/>
          </w:rPr>
          <w:t>mustafaaksu.dev</w:t>
        </w:r>
      </w:hyperlink>
      <w:r>
        <w:rPr>
          <w:rFonts w:ascii="Calibri" w:eastAsia="Times New Roman" w:hAnsi="Calibri" w:cs="Calibri"/>
          <w:color w:val="1B2330"/>
          <w:sz w:val="17"/>
          <w:szCs w:val="17"/>
          <w:lang w:val="en"/>
        </w:rPr>
        <w:t xml:space="preserve"> · </w:t>
      </w:r>
      <w:hyperlink r:id="rId7" w:history="1">
        <w:r>
          <w:rPr>
            <w:rStyle w:val="Hyperlink"/>
            <w:rFonts w:ascii="Calibri" w:eastAsia="Times New Roman" w:hAnsi="Calibri" w:cs="Calibri"/>
            <w:sz w:val="17"/>
            <w:szCs w:val="17"/>
            <w:lang w:val="en"/>
          </w:rPr>
          <w:t>linkedin.com/in/salesforcewithmaksu</w:t>
        </w:r>
      </w:hyperlink>
      <w:r>
        <w:rPr>
          <w:rFonts w:ascii="Calibri" w:eastAsia="Times New Roman" w:hAnsi="Calibri" w:cs="Calibri"/>
          <w:color w:val="1B2330"/>
          <w:sz w:val="17"/>
          <w:szCs w:val="17"/>
          <w:lang w:val="en"/>
        </w:rPr>
        <w:t xml:space="preserve"> · </w:t>
      </w:r>
      <w:hyperlink r:id="rId8" w:history="1">
        <w:r>
          <w:rPr>
            <w:rStyle w:val="Hyperlink"/>
            <w:rFonts w:ascii="Calibri" w:eastAsia="Times New Roman" w:hAnsi="Calibri" w:cs="Calibri"/>
            <w:sz w:val="17"/>
            <w:szCs w:val="17"/>
            <w:lang w:val="en"/>
          </w:rPr>
          <w:t>github.com/aksumustafa1625</w:t>
        </w:r>
      </w:hyperlink>
      <w:r>
        <w:rPr>
          <w:rFonts w:ascii="Calibri" w:eastAsia="Times New Roman" w:hAnsi="Calibri" w:cs="Calibri"/>
          <w:color w:val="1B2330"/>
          <w:sz w:val="17"/>
          <w:szCs w:val="17"/>
          <w:lang w:val="en"/>
        </w:rPr>
        <w:t xml:space="preserve"> · Trailhead: </w:t>
      </w:r>
      <w:hyperlink r:id="rId9" w:history="1">
        <w:r>
          <w:rPr>
            <w:rStyle w:val="Hyperlink"/>
            <w:rFonts w:ascii="Calibri" w:eastAsia="Times New Roman" w:hAnsi="Calibri" w:cs="Calibri"/>
            <w:sz w:val="17"/>
            <w:szCs w:val="17"/>
            <w:lang w:val="en"/>
          </w:rPr>
          <w:t>aksumustafa16</w:t>
        </w:r>
      </w:hyperlink>
      <w:r>
        <w:rPr>
          <w:rFonts w:ascii="Calibri" w:eastAsia="Times New Roman" w:hAnsi="Calibri" w:cs="Calibri"/>
          <w:color w:val="1B2330"/>
          <w:sz w:val="17"/>
          <w:szCs w:val="17"/>
          <w:lang w:val="en"/>
        </w:rPr>
        <w:t xml:space="preserve"> (Five Star Ranger)</w:t>
      </w:r>
    </w:p>
    <w:p w14:paraId="4148855C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Professional Summary</w:t>
      </w:r>
    </w:p>
    <w:p w14:paraId="1630F610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Salesforce Revenue Cloud developer and registered Salesforce ISV Partner, with an MSc in Computer Software Engineering. Certified as CPQ Administrator, Industries CPQ Developer, OmniStudio Developer and Consultant, Platform Developer I and II, Agentforce Specialist, Administrator and Platform App Builder. My core is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Quote-to-Cash on Revenue Cloud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: product catalog, qualification, configuration, pricing, quoting, approvals and contracts on Revenue Lifecycle Management, CLM and Industries CPQ — and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the integrations that carry an order onward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: SAP S/4HANA OData, DATEV, CAMT.053 bank statements, payments and e-signature, through Apex and MuleSoft. On top of it I build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Agentforce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: agents grounded in the org's own data that act through Apex, a natural-language deal builder inside my own RLM package, and Apex exposed to models as MCP tools. One rule runs through all of it: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the model extracts intent, code sets the numbers.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Every claim below is backed by a file I can open on a screen-share.</w:t>
      </w:r>
    </w:p>
    <w:p w14:paraId="6F5C7CE8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Salesforce Projects</w:t>
      </w:r>
    </w:p>
    <w:p w14:paraId="4A30B9DB" w14:textId="77777777" w:rsidR="00366D9C" w:rsidRDefault="00366D9C">
      <w:pPr>
        <w:pStyle w:val="Heading3"/>
        <w:divId w:val="1381396550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TechnoStore — Quote-to-Cash on Salesforce Revenue Cloud, integrated end to end · 2025–26</w:t>
      </w:r>
    </w:p>
    <w:p w14:paraId="4A56DDDA" w14:textId="77777777" w:rsidR="00366D9C" w:rsidRDefault="00366D9C">
      <w:pPr>
        <w:pStyle w:val="note"/>
        <w:divId w:val="1381396550"/>
        <w:rPr>
          <w:rFonts w:ascii="Calibri" w:hAnsi="Calibri" w:cs="Calibri"/>
          <w:sz w:val="18"/>
          <w:szCs w:val="18"/>
          <w:lang w:val="en"/>
        </w:rPr>
      </w:pPr>
      <w:r>
        <w:rPr>
          <w:rFonts w:ascii="Calibri" w:hAnsi="Calibri" w:cs="Calibri"/>
          <w:sz w:val="18"/>
          <w:szCs w:val="18"/>
          <w:lang w:val="en"/>
        </w:rPr>
        <w:t>Developer Edition portfolio build; TechnoStore GmbH is a fictional DACH B2B supplier. Public repository.</w:t>
      </w:r>
    </w:p>
    <w:p w14:paraId="0189BF21" w14:textId="77777777" w:rsidR="00366D9C" w:rsidRDefault="00366D9C">
      <w:pPr>
        <w:numPr>
          <w:ilvl w:val="0"/>
          <w:numId w:val="1"/>
        </w:numPr>
        <w:spacing w:after="23"/>
        <w:divId w:val="157485007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Quote-to-Cash on Revenue Cloud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(RLM + CLM + Industries CPQ), from quote to order, invoice and payment: Expression Sets qualify products on account segment and region before configuration and pricing; tiered discount approvals with thresholds held in Custom Metadata and approvers assigned by role, never by person; 29 active Flows. ADR-016/032/033 record where the native RLM pricing runtime did not complete, and why.</w:t>
      </w:r>
    </w:p>
    <w:p w14:paraId="1C75FAAE" w14:textId="77777777" w:rsidR="00366D9C" w:rsidRDefault="00366D9C">
      <w:pPr>
        <w:numPr>
          <w:ilvl w:val="0"/>
          <w:numId w:val="1"/>
        </w:numPr>
        <w:spacing w:after="23"/>
        <w:divId w:val="157485007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SAP S/4HANA layer — 8 Apex classes, each with its own test: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OData v2 sales-order deep-insert with X-CSRF-Token handshake, master data, ATP,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CloudEvents 1.0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receiver. Against the SAP Business Accelerator Hub sandbox, not a licensed tenant (ADR-029: ~10–15 h config-only cutover).</w:t>
      </w:r>
    </w:p>
    <w:p w14:paraId="751EA6B2" w14:textId="77777777" w:rsidR="00366D9C" w:rsidRDefault="00366D9C">
      <w:pPr>
        <w:numPr>
          <w:ilvl w:val="0"/>
          <w:numId w:val="1"/>
        </w:numPr>
        <w:spacing w:after="23"/>
        <w:divId w:val="157485007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German statutory finance: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DATEV-konform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EXTF v700 / SKR04 Buchungsstapel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export (account 4400, 19 % USt), a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live lexoffice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integration, and a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CAMT.053 / ISO 20022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parser matching open invoices — tested on sample statements, no live bank feed.</w:t>
      </w:r>
    </w:p>
    <w:p w14:paraId="33EDFCEE" w14:textId="77777777" w:rsidR="00366D9C" w:rsidRDefault="00366D9C">
      <w:pPr>
        <w:numPr>
          <w:ilvl w:val="0"/>
          <w:numId w:val="1"/>
        </w:numPr>
        <w:spacing w:after="23"/>
        <w:divId w:val="157485007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Nine live external connections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, each verified against records in the org: SAP S/4HANA, Stripe, DocuSign, JIRA, Slack, Notion, Sendcloud, lexoffice and Twilio — over three deliberate paths (Apex-direct, MuleSoft-mediated, and file-based where the vendor publishes no API). DATEV is the file path by constraint, not shortcut: API access is issued only through an existing client or Steuerberater.</w:t>
      </w:r>
    </w:p>
    <w:p w14:paraId="4C0CF4E0" w14:textId="77777777" w:rsidR="00366D9C" w:rsidRDefault="00366D9C">
      <w:pPr>
        <w:numPr>
          <w:ilvl w:val="0"/>
          <w:numId w:val="1"/>
        </w:numPr>
        <w:spacing w:after="23"/>
        <w:divId w:val="157485007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113 Apex files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with </w:t>
      </w:r>
      <w:r>
        <w:rPr>
          <w:rStyle w:val="HTMLCode"/>
          <w:color w:val="1B2330"/>
          <w:lang w:val="en"/>
        </w:rPr>
        <w:t>HttpCalloutMock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on every tested callout; 33 ADRs, an arc42 blueprint, and a </w:t>
      </w:r>
      <w:r>
        <w:rPr>
          <w:rStyle w:val="HTMLCode"/>
          <w:color w:val="1B2330"/>
          <w:lang w:val="en"/>
        </w:rPr>
        <w:t>SECURITY.md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stating 113/113 Apex files are pre-v67 — CRUD/FLS not enforced in Apex — that retracts an earlier false claim of its own.</w:t>
      </w:r>
    </w:p>
    <w:p w14:paraId="281B1AFB" w14:textId="77777777" w:rsidR="00366D9C" w:rsidRDefault="00366D9C">
      <w:pPr>
        <w:pStyle w:val="Heading3"/>
        <w:divId w:val="771172503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Configra — my own Revenue Cloud product, a Managed 2GP package on RLM · 2026 – present</w:t>
      </w:r>
    </w:p>
    <w:p w14:paraId="32E6CE59" w14:textId="77777777" w:rsidR="00366D9C" w:rsidRDefault="00366D9C">
      <w:pPr>
        <w:pStyle w:val="note"/>
        <w:divId w:val="771172503"/>
        <w:rPr>
          <w:rFonts w:ascii="Calibri" w:hAnsi="Calibri" w:cs="Calibri"/>
          <w:sz w:val="18"/>
          <w:szCs w:val="18"/>
          <w:lang w:val="en"/>
        </w:rPr>
      </w:pPr>
      <w:r>
        <w:rPr>
          <w:rFonts w:ascii="Calibri" w:hAnsi="Calibri" w:cs="Calibri"/>
          <w:sz w:val="18"/>
          <w:szCs w:val="18"/>
          <w:lang w:val="en"/>
        </w:rPr>
        <w:t xml:space="preserve">Salesforce ISV Partner; registered </w:t>
      </w:r>
      <w:r>
        <w:rPr>
          <w:rStyle w:val="HTMLCode"/>
          <w:lang w:val="en"/>
        </w:rPr>
        <w:t>configra</w:t>
      </w:r>
      <w:r>
        <w:rPr>
          <w:rFonts w:ascii="Calibri" w:hAnsi="Calibri" w:cs="Calibri"/>
          <w:sz w:val="18"/>
          <w:szCs w:val="18"/>
          <w:lang w:val="en"/>
        </w:rPr>
        <w:t xml:space="preserve"> namespace; code private.</w:t>
      </w:r>
    </w:p>
    <w:p w14:paraId="5B870AE4" w14:textId="77777777" w:rsidR="00366D9C" w:rsidRDefault="00366D9C">
      <w:pPr>
        <w:numPr>
          <w:ilvl w:val="0"/>
          <w:numId w:val="2"/>
        </w:numPr>
        <w:spacing w:after="23"/>
        <w:divId w:val="517231029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The problem it solves: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 rep on a live call needs a product or bundle the catalog does not carry. Configra builds it on the quote from a plain-language description, without touching the catalog. In-progress configurations live in session-scoped objects that are validated, promoted to real quote lines and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deleted, not archived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, on commit; a single placeholder product gives the RLM configurator its catalog anchor.</w:t>
      </w:r>
    </w:p>
    <w:p w14:paraId="66B9AF82" w14:textId="77777777" w:rsidR="00366D9C" w:rsidRDefault="00366D9C">
      <w:pPr>
        <w:numPr>
          <w:ilvl w:val="0"/>
          <w:numId w:val="2"/>
        </w:numPr>
        <w:spacing w:after="23"/>
        <w:divId w:val="517231029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The catalog grows only when the business has earned it: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recurring write-ins surface as detected catalog gaps, and a proven pattern converts into a real product with bundle structure, selling model and price book entry in one step. Cross-rep analytics pass a k-anonymity floor before anything surfaces.</w:t>
      </w:r>
    </w:p>
    <w:p w14:paraId="7C8EF087" w14:textId="77777777" w:rsidR="00366D9C" w:rsidRDefault="00366D9C">
      <w:pPr>
        <w:numPr>
          <w:ilvl w:val="0"/>
          <w:numId w:val="2"/>
        </w:numPr>
        <w:spacing w:after="23"/>
        <w:divId w:val="517231029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AI that never touches money: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 natural-language deal builder on the native Einstein Models API (</w:t>
      </w:r>
      <w:r>
        <w:rPr>
          <w:rStyle w:val="HTMLCode"/>
          <w:color w:val="1B2330"/>
          <w:lang w:val="en"/>
        </w:rPr>
        <w:t>aiplatform.ModelsAPI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, GPT-4o mini) creates Account, Contact, Opportunity, Quote and a draft configuration from one sentence. The JSON schema carries no monetary fields; every price, quantity and discount is parsed deterministically, telling </w:t>
      </w:r>
      <w:r>
        <w:rPr>
          <w:rStyle w:val="HTMLCode"/>
          <w:color w:val="1B2330"/>
          <w:lang w:val="en"/>
        </w:rPr>
        <w:t>1.500,00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from </w:t>
      </w:r>
      <w:r>
        <w:rPr>
          <w:rStyle w:val="HTMLCode"/>
          <w:color w:val="1B2330"/>
          <w:lang w:val="en"/>
        </w:rPr>
        <w:t>1,500.00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by the quote currency. Callout-free — no Named Credential, no Remote Site Setting.</w:t>
      </w:r>
    </w:p>
    <w:p w14:paraId="12AE773D" w14:textId="77777777" w:rsidR="00366D9C" w:rsidRDefault="00366D9C">
      <w:pPr>
        <w:numPr>
          <w:ilvl w:val="0"/>
          <w:numId w:val="2"/>
        </w:numPr>
        <w:spacing w:after="23"/>
        <w:divId w:val="517231029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The package: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six beta versions, 1.0.0.6 installed and verified in a separate subscriber org; extends standard RLM </w:t>
      </w:r>
      <w:r>
        <w:rPr>
          <w:rStyle w:val="HTMLCode"/>
          <w:color w:val="1B2330"/>
          <w:lang w:val="en"/>
        </w:rPr>
        <w:t>QuoteLineItem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rather than shadowing it;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20 Apex classes (5,329 lines), 7 LWCs, 7 custom objects, 171 test methods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; </w:t>
      </w:r>
      <w:r>
        <w:rPr>
          <w:rStyle w:val="HTMLCode"/>
          <w:color w:val="1B2330"/>
          <w:lang w:val="en"/>
        </w:rPr>
        <w:lastRenderedPageBreak/>
        <w:t>WITH USER_MODE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on every query over user data. The AppExchange listing is drafted and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Security Review submission is the next milestone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.</w:t>
      </w:r>
    </w:p>
    <w:p w14:paraId="4A210CF1" w14:textId="77777777" w:rsidR="00366D9C" w:rsidRDefault="00366D9C">
      <w:pPr>
        <w:pStyle w:val="Heading3"/>
        <w:divId w:val="532427030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HanseWatt — Agentforce Service Agent grounded in Data 360 · 2026</w:t>
      </w:r>
    </w:p>
    <w:p w14:paraId="70FA52B6" w14:textId="77777777" w:rsidR="00366D9C" w:rsidRDefault="00366D9C">
      <w:pPr>
        <w:pStyle w:val="note"/>
        <w:divId w:val="532427030"/>
        <w:rPr>
          <w:rFonts w:ascii="Calibri" w:hAnsi="Calibri" w:cs="Calibri"/>
          <w:sz w:val="18"/>
          <w:szCs w:val="18"/>
          <w:lang w:val="en"/>
        </w:rPr>
      </w:pPr>
      <w:r>
        <w:rPr>
          <w:rFonts w:ascii="Calibri" w:hAnsi="Calibri" w:cs="Calibri"/>
          <w:sz w:val="18"/>
          <w:szCs w:val="18"/>
          <w:lang w:val="en"/>
        </w:rPr>
        <w:t>Developer Edition portfolio build; HanseWatt GmbH is a fictional DACH energy retailer.</w:t>
      </w:r>
    </w:p>
    <w:p w14:paraId="4E44162A" w14:textId="77777777" w:rsidR="00366D9C" w:rsidRDefault="00366D9C">
      <w:pPr>
        <w:numPr>
          <w:ilvl w:val="0"/>
          <w:numId w:val="3"/>
        </w:numPr>
        <w:spacing w:after="23"/>
        <w:divId w:val="948703121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German-speaking Agentforce Service Agent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ReAct planner, 2 topics, 9 wired actions (identify → bill → consumption → Knowledge → tariff switch → move-house → case);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 xml:space="preserve">8 of the 9 are my own Apex </w:t>
      </w:r>
      <w:r>
        <w:rPr>
          <w:rStyle w:val="HTMLCode"/>
          <w:b/>
          <w:bCs/>
          <w:color w:val="1B2330"/>
          <w:lang w:val="en"/>
        </w:rPr>
        <w:t>@InvocableMethod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 xml:space="preserve"> classes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. A Data 360 Calculated Insight in SQL compares each meter's latest reading with its own trailing average.</w:t>
      </w:r>
    </w:p>
    <w:p w14:paraId="25132173" w14:textId="77777777" w:rsidR="00366D9C" w:rsidRDefault="00366D9C">
      <w:pPr>
        <w:numPr>
          <w:ilvl w:val="0"/>
          <w:numId w:val="3"/>
        </w:numPr>
        <w:spacing w:after="23"/>
        <w:divId w:val="948703121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Tariff switch as a server-side consent state machine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an expiring, account-scoped request that cannot apply on first confirmation; on apply it publishes a platform event as the billing seam — the far side is simulated.</w:t>
      </w:r>
    </w:p>
    <w:p w14:paraId="69F70A99" w14:textId="77777777" w:rsidR="00366D9C" w:rsidRDefault="00366D9C">
      <w:pPr>
        <w:numPr>
          <w:ilvl w:val="0"/>
          <w:numId w:val="3"/>
        </w:numPr>
        <w:spacing w:after="23"/>
        <w:divId w:val="948703121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Secure by default: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all 32 Apex classes at apiVersion 67.0, 16 non-test classes </w:t>
      </w:r>
      <w:r>
        <w:rPr>
          <w:rStyle w:val="HTMLCode"/>
          <w:color w:val="1B2330"/>
          <w:lang w:val="en"/>
        </w:rPr>
        <w:t>with sharing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, 5 DML </w:t>
      </w:r>
      <w:r>
        <w:rPr>
          <w:rStyle w:val="HTMLCode"/>
          <w:color w:val="1B2330"/>
          <w:lang w:val="en"/>
        </w:rPr>
        <w:t>as user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;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101 test methods / 348 assertions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at zero Flex Credits; 21 ADRs.</w:t>
      </w:r>
    </w:p>
    <w:p w14:paraId="455E76E8" w14:textId="77777777" w:rsidR="00366D9C" w:rsidRDefault="00366D9C">
      <w:pPr>
        <w:pStyle w:val="Heading3"/>
        <w:divId w:val="791747669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Multi-Agent Orchestration on Agentforce — Agent Script · 2026</w:t>
      </w:r>
    </w:p>
    <w:p w14:paraId="54048EA0" w14:textId="77777777" w:rsidR="00366D9C" w:rsidRDefault="00366D9C">
      <w:pPr>
        <w:numPr>
          <w:ilvl w:val="0"/>
          <w:numId w:val="4"/>
        </w:numPr>
        <w:spacing w:after="23"/>
        <w:divId w:val="2048215296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A router agent above three specialists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Records, Triage and Sch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eduling; ownership exclusive, order fixed. The trace shows all three invoked in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one turn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, output evaluation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GROUNDED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.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Measured, not assumed: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 connected subagent must be called, not transitioned to — </w:t>
      </w:r>
      <w:r>
        <w:rPr>
          <w:rStyle w:val="HTMLCode"/>
          <w:color w:val="1B2330"/>
          <w:lang w:val="en"/>
        </w:rPr>
        <w:t>@utils.transition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hands control away and the answer never comes back.</w:t>
      </w:r>
    </w:p>
    <w:p w14:paraId="4DE082FD" w14:textId="77777777" w:rsidR="00366D9C" w:rsidRDefault="00366D9C">
      <w:pPr>
        <w:pStyle w:val="Heading3"/>
        <w:divId w:val="340861471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Agentforce Assurance Tooling — making agents safe to trust with a quote, a price or a record · 2026</w:t>
      </w:r>
    </w:p>
    <w:p w14:paraId="390E0F35" w14:textId="77777777" w:rsidR="00366D9C" w:rsidRDefault="00366D9C">
      <w:pPr>
        <w:numPr>
          <w:ilvl w:val="0"/>
          <w:numId w:val="5"/>
        </w:numPr>
        <w:spacing w:after="23"/>
        <w:divId w:val="1146512191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Agent Blast Radius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(public, MIT) — computes what an agent's Apex and Flow can really reach as a named running user, and traces a compliance-labelled field into the model's prompt, at a line number. Against Salesforce's own Graph Engine (a Developer Preview; Code Analyzer 5.15.0, corpus v1.1, 29 Aug 2026) on cases a live org adjudicated: sfge contradicts the org on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8 of 21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, this tool on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0 of 21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. 323 tests, 8/8 mutation score.</w:t>
      </w:r>
    </w:p>
    <w:p w14:paraId="6B6A4249" w14:textId="77777777" w:rsidR="00366D9C" w:rsidRDefault="00366D9C">
      <w:pPr>
        <w:numPr>
          <w:ilvl w:val="0"/>
          <w:numId w:val="5"/>
        </w:numPr>
        <w:spacing w:after="23"/>
        <w:divId w:val="1146512191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Prüfstand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a 30-case German-language red-team corpus (14 categories, 7 canary tokens), committed before the harness that scores it; 26 of 29 deliverable attacks passed, three genuine weaknesses recorded openly.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PreFlight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an Agent Readiness Index from an org's closed cases, before anyone builds (29 Apex classes, 79 test methods).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Nabz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runtime root-cause for a live agent with an A–E evidence grade (81 Apex classes, 38 ADRs).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Aktenlage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— an EU AI Act Article 26 evidence pack; 11 of 11 planted breakages caught.</w:t>
      </w:r>
    </w:p>
    <w:p w14:paraId="667DE925" w14:textId="77777777" w:rsidR="00366D9C" w:rsidRDefault="00366D9C">
      <w:pPr>
        <w:pStyle w:val="Heading3"/>
        <w:divId w:val="538319448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Urla Shoes and VoltStream Mobility — Agentforce actions and a compliance engine · 2026</w:t>
      </w:r>
    </w:p>
    <w:p w14:paraId="07662FC0" w14:textId="77777777" w:rsidR="00366D9C" w:rsidRDefault="00366D9C">
      <w:pPr>
        <w:numPr>
          <w:ilvl w:val="0"/>
          <w:numId w:val="6"/>
        </w:numPr>
        <w:spacing w:after="23"/>
        <w:divId w:val="1260680714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Urla Shoes: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an Einstein Prompt Template classifies partner documents into strict JSON written back </w:t>
      </w:r>
      <w:r>
        <w:rPr>
          <w:rStyle w:val="HTMLCode"/>
          <w:color w:val="1B2330"/>
          <w:lang w:val="en"/>
        </w:rPr>
        <w:t>as user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; four Agentforce invocable actions — including reseller onboarding that creates Account, Contact, Opportunity and Quote in one pass — two of them exposed to a model as </w:t>
      </w: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MCP tools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.</w:t>
      </w:r>
    </w:p>
    <w:p w14:paraId="76427D2A" w14:textId="77777777" w:rsidR="00366D9C" w:rsidRDefault="00366D9C">
      <w:pPr>
        <w:numPr>
          <w:ilvl w:val="0"/>
          <w:numId w:val="6"/>
        </w:numPr>
        <w:spacing w:after="23"/>
        <w:divId w:val="1260680714"/>
        <w:rPr>
          <w:rFonts w:ascii="Calibri" w:eastAsia="Times New Roman" w:hAnsi="Calibri" w:cs="Calibri"/>
          <w:color w:val="1B2330"/>
          <w:sz w:val="18"/>
          <w:szCs w:val="18"/>
          <w:lang w:val="en"/>
        </w:rPr>
      </w:pPr>
      <w:r>
        <w:rPr>
          <w:rFonts w:ascii="Calibri" w:eastAsia="Times New Roman" w:hAnsi="Calibri" w:cs="Calibri"/>
          <w:b/>
          <w:bCs/>
          <w:color w:val="1B2330"/>
          <w:sz w:val="18"/>
          <w:szCs w:val="18"/>
          <w:lang w:val="en"/>
        </w:rPr>
        <w:t>VoltStream Mobility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 xml:space="preserve"> </w:t>
      </w:r>
      <w:r>
        <w:rPr>
          <w:rFonts w:ascii="Calibri" w:eastAsia="Times New Roman" w:hAnsi="Calibri" w:cs="Calibri"/>
          <w:color w:val="1B2330"/>
          <w:sz w:val="18"/>
          <w:szCs w:val="18"/>
          <w:lang w:val="en"/>
        </w:rPr>
        <w:t>(public): a German charging-law engine where the engine decides and the agent explains; a transcript gate fails the build if the agent cites a paragraph no action returned. 191 test methods, 18 ADRs.</w:t>
      </w:r>
    </w:p>
    <w:p w14:paraId="6FC898BC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Technical Skills</w:t>
      </w:r>
    </w:p>
    <w:p w14:paraId="7D985476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Revenue Cloud &amp; Quote-to-Cash: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Revenue Lifecycle Management — product catalog (bundles, selling models, price book entries), qualification with Expression Sets, configurator, pricing, quotes and orders, approvals · CLM · Industries CPQ · Salesforce CPQ · OmniStudio</w:t>
      </w:r>
    </w:p>
    <w:p w14:paraId="57ED2FEC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Integration &amp; Data: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REST/SOAP, Named Credentials, webhooks with HMAC, MuleSoft Anypoint, SAP S/4HANA (OData v2, CloudEvents), DATEV EXTF/SKR04, CAMT.053 / ISO 20022, Stripe, DocuSign, lexoffice, Data 360 (Query API), SQL</w:t>
      </w:r>
    </w:p>
    <w:p w14:paraId="415450B8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Agentforce &amp; AI: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Agentforce (topics, actions, planners, Agent Script, multi-agent orchestration), grounding with Knowledge and Data 360, Einstein Prompt Templates &amp; Models API, Trust Layer, Model Context Protocol, prompt-injection hardening, agent red-teaming</w:t>
      </w:r>
    </w:p>
    <w:p w14:paraId="5AA97078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Platform: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Apex (PD II), LWC, JavaScript, SOQL/SOSL, Flow, Platform Events, async Apex, execution semantics (user mode, sharing), Service Cloud, Omni-Channel</w:t>
      </w:r>
    </w:p>
    <w:p w14:paraId="314C8C54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Also reads and writes: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Java (working knowledge, from test-automation work; not shipped in production), HTML/CSS, SQL</w:t>
      </w:r>
    </w:p>
    <w:p w14:paraId="60B03919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DevOps: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Salesforce DX, Managed 2GP, AppExchange Security Review prep, Code Analyzer / PMD, GitHub Actions, ADRs, arc42</w:t>
      </w:r>
    </w:p>
    <w:p w14:paraId="638B51F7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Salesforce Certifications (10)</w:t>
      </w:r>
    </w:p>
    <w:p w14:paraId="72D4616B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Revenue &amp; Industry: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CPQ Administrator · Industries CPQ Developer · OmniStudio Developer · OmniStudio Consultant |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Platform: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Platform Developer II · Platform Developer I · Administrator · Platform App Builder |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AI: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Agentforce Specialist · AI Associate (since retired by Salesforce)</w:t>
      </w:r>
    </w:p>
    <w:p w14:paraId="58AA4D44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Trailhead: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Five Star Ranger · 518 badges · 8 Superbadges (Advanced Apex Specialist, Apex Specialist, Apex Callouts, Apex Web Services, Salesforce Inbound Integration Specialist, Named Credentials, Platform Events, Platform API)</w:t>
      </w:r>
    </w:p>
    <w:p w14:paraId="18630C3D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Education</w:t>
      </w:r>
    </w:p>
    <w:p w14:paraId="2AD92E2B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MSc, Computer Software Engineering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— North American University · 2021–2023</w:t>
      </w:r>
    </w:p>
    <w:p w14:paraId="68CCEF53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Postgraduate Degree, Information Technology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— Vistula University · 2019–2020</w:t>
      </w:r>
    </w:p>
    <w:p w14:paraId="19063CD7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lastRenderedPageBreak/>
        <w:t>Bachelor of Education, Turkish Language &amp; Literature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— Balıkesir University · 1996–2000</w:t>
      </w:r>
    </w:p>
    <w:p w14:paraId="1F58B6FC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Customer-Facing Background</w:t>
      </w:r>
    </w:p>
    <w:p w14:paraId="2970A1D6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2000–2020 — twenty years in education: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Educator, then Principal (Türkiye), then Guidance Counselor at an international college (Nigeria). Two decades of structured discovery, explaining complex options simply, and cross-cultural stakeholder management — the foundation for turning a customer's problem into a solution and holding my own with technical and non-technical audiences alike.</w:t>
      </w:r>
    </w:p>
    <w:p w14:paraId="60FD62BC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Community</w:t>
      </w:r>
    </w:p>
    <w:p w14:paraId="73C1B7E3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Operator of the </w:t>
      </w:r>
      <w:r>
        <w:rPr>
          <w:rFonts w:ascii="Calibri" w:hAnsi="Calibri" w:cs="Calibri"/>
          <w:i/>
          <w:iCs/>
          <w:color w:val="1B2330"/>
          <w:sz w:val="18"/>
          <w:szCs w:val="18"/>
          <w:lang w:val="en"/>
        </w:rPr>
        <w:t>Salesforce Revenue Cloud | Germany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LinkedIn group (300+ members). 133 technical guides at salesforcewithmaksu.com, 27 of them on Revenue Cloud and CPQ; ~13K LinkedIn followers.</w:t>
      </w:r>
    </w:p>
    <w:p w14:paraId="69B86763" w14:textId="77777777" w:rsidR="00366D9C" w:rsidRDefault="00366D9C">
      <w:pPr>
        <w:pStyle w:val="Heading2"/>
        <w:rPr>
          <w:rFonts w:ascii="Calibri" w:eastAsia="Times New Roman" w:hAnsi="Calibri" w:cs="Calibri"/>
          <w:lang w:val="en"/>
        </w:rPr>
      </w:pPr>
      <w:r>
        <w:rPr>
          <w:rFonts w:ascii="Calibri" w:eastAsia="Times New Roman" w:hAnsi="Calibri" w:cs="Calibri"/>
          <w:lang w:val="en"/>
        </w:rPr>
        <w:t>Availability</w:t>
      </w:r>
    </w:p>
    <w:p w14:paraId="62633EC5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color w:val="1B2330"/>
          <w:sz w:val="18"/>
          <w:szCs w:val="18"/>
          <w:lang w:val="en"/>
        </w:rPr>
        <w:t>Available now for remote Revenue Cloud, CPQ and Salesforce development work on European hours: UTC+1 all year, the same as CET in winter and one hour behind it in summer. Open to employment through an employer-of-record or to a B2B contract. No notice period. Open to relocating within Europe, where I would need a work permit.</w:t>
      </w:r>
    </w:p>
    <w:p w14:paraId="146BE46F" w14:textId="77777777" w:rsidR="00366D9C" w:rsidRDefault="00366D9C">
      <w:pPr>
        <w:pStyle w:val="NormalWeb"/>
        <w:rPr>
          <w:rFonts w:ascii="Calibri" w:hAnsi="Calibri" w:cs="Calibri"/>
          <w:color w:val="1B2330"/>
          <w:sz w:val="18"/>
          <w:szCs w:val="18"/>
          <w:lang w:val="en"/>
        </w:rPr>
      </w:pP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Eight repositories are public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and open for inspection without asking — including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TechnoStore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above, the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Agent Authority Benchmark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(github.com/aksumustafa1625/agent-authority-benchmark: 28 Apex cases, 21 adjudicated by a live org), and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VoltStream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. Across my repositories there are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104 architecture decision records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. Configra, Prüfstand, PreFlight, Nabz and Aktenlage stay private; full repo access and code walkthroughs on request. Every project has a page at </w:t>
      </w:r>
      <w:r>
        <w:rPr>
          <w:rFonts w:ascii="Calibri" w:hAnsi="Calibri" w:cs="Calibri"/>
          <w:b/>
          <w:bCs/>
          <w:color w:val="1B2330"/>
          <w:sz w:val="18"/>
          <w:szCs w:val="18"/>
          <w:lang w:val="en"/>
        </w:rPr>
        <w:t>mustafaaksu.dev/en/projects</w:t>
      </w:r>
      <w:r>
        <w:rPr>
          <w:rFonts w:ascii="Calibri" w:hAnsi="Calibri" w:cs="Calibri"/>
          <w:color w:val="1B2330"/>
          <w:sz w:val="18"/>
          <w:szCs w:val="18"/>
          <w:lang w:val="en"/>
        </w:rPr>
        <w:t xml:space="preserve"> — architecture written up, screenshots, and recorded w</w:t>
      </w:r>
      <w:r>
        <w:rPr>
          <w:rFonts w:ascii="Calibri" w:hAnsi="Calibri" w:cs="Calibri"/>
          <w:color w:val="1B2330"/>
          <w:sz w:val="18"/>
          <w:szCs w:val="18"/>
          <w:lang w:val="en"/>
        </w:rPr>
        <w:t>alkthroughs.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0FE"/>
    <w:multiLevelType w:val="multilevel"/>
    <w:tmpl w:val="7138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B356D"/>
    <w:multiLevelType w:val="multilevel"/>
    <w:tmpl w:val="B77E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17BF9"/>
    <w:multiLevelType w:val="multilevel"/>
    <w:tmpl w:val="A004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42982"/>
    <w:multiLevelType w:val="multilevel"/>
    <w:tmpl w:val="267C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F0679"/>
    <w:multiLevelType w:val="multilevel"/>
    <w:tmpl w:val="0ABA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CF5CD4"/>
    <w:multiLevelType w:val="multilevel"/>
    <w:tmpl w:val="11FC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267092">
    <w:abstractNumId w:val="5"/>
  </w:num>
  <w:num w:numId="2" w16cid:durableId="543255406">
    <w:abstractNumId w:val="3"/>
  </w:num>
  <w:num w:numId="3" w16cid:durableId="1770157565">
    <w:abstractNumId w:val="2"/>
  </w:num>
  <w:num w:numId="4" w16cid:durableId="1921909706">
    <w:abstractNumId w:val="0"/>
  </w:num>
  <w:num w:numId="5" w16cid:durableId="1915046978">
    <w:abstractNumId w:val="1"/>
  </w:num>
  <w:num w:numId="6" w16cid:durableId="306935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9C"/>
    <w:rsid w:val="00366D9C"/>
    <w:rsid w:val="00BA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C80D0"/>
  <w15:chartTrackingRefBased/>
  <w15:docId w15:val="{0291DCF8-C8F9-4E57-9F13-FF893622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b/>
      <w:bCs/>
      <w:color w:val="0B2545"/>
      <w:kern w:val="36"/>
      <w:sz w:val="42"/>
      <w:szCs w:val="42"/>
    </w:rPr>
  </w:style>
  <w:style w:type="paragraph" w:styleId="Heading2">
    <w:name w:val="heading 2"/>
    <w:basedOn w:val="Normal"/>
    <w:link w:val="Heading2Char"/>
    <w:uiPriority w:val="9"/>
    <w:qFormat/>
    <w:pPr>
      <w:spacing w:before="90" w:after="15"/>
      <w:outlineLvl w:val="1"/>
    </w:pPr>
    <w:rPr>
      <w:b/>
      <w:bCs/>
      <w:caps/>
      <w:color w:val="0B2545"/>
      <w:spacing w:val="6"/>
      <w:sz w:val="18"/>
      <w:szCs w:val="18"/>
    </w:rPr>
  </w:style>
  <w:style w:type="paragraph" w:styleId="Heading3">
    <w:name w:val="heading 3"/>
    <w:basedOn w:val="Normal"/>
    <w:link w:val="Heading3Char"/>
    <w:uiPriority w:val="9"/>
    <w:qFormat/>
    <w:pPr>
      <w:spacing w:before="60"/>
      <w:outlineLvl w:val="2"/>
    </w:pPr>
    <w:rPr>
      <w:b/>
      <w:bCs/>
      <w:color w:val="1F5FAE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1F5FAE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1F5FAE"/>
      <w:u w:val="none"/>
      <w:effect w:val="none"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eastAsiaTheme="minorEastAsia" w:hAnsi="Consolas" w:cs="Courier New" w:hint="default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30"/>
    </w:pPr>
  </w:style>
  <w:style w:type="paragraph" w:styleId="NormalWeb">
    <w:name w:val="Normal (Web)"/>
    <w:basedOn w:val="Normal"/>
    <w:uiPriority w:val="99"/>
    <w:semiHidden/>
    <w:unhideWhenUsed/>
    <w:pPr>
      <w:spacing w:after="30"/>
    </w:pPr>
  </w:style>
  <w:style w:type="paragraph" w:customStyle="1" w:styleId="sub">
    <w:name w:val="sub"/>
    <w:basedOn w:val="Normal"/>
    <w:pPr>
      <w:spacing w:before="30" w:after="15"/>
    </w:pPr>
    <w:rPr>
      <w:b/>
      <w:bCs/>
      <w:color w:val="1F5FAE"/>
      <w:sz w:val="21"/>
      <w:szCs w:val="21"/>
    </w:rPr>
  </w:style>
  <w:style w:type="paragraph" w:customStyle="1" w:styleId="line">
    <w:name w:val="line"/>
    <w:basedOn w:val="Normal"/>
    <w:pPr>
      <w:spacing w:after="23"/>
    </w:pPr>
    <w:rPr>
      <w:color w:val="4A5566"/>
      <w:sz w:val="17"/>
      <w:szCs w:val="17"/>
    </w:rPr>
  </w:style>
  <w:style w:type="paragraph" w:customStyle="1" w:styleId="contact">
    <w:name w:val="contact"/>
    <w:basedOn w:val="Normal"/>
    <w:pPr>
      <w:spacing w:before="15" w:after="23"/>
    </w:pPr>
    <w:rPr>
      <w:sz w:val="17"/>
      <w:szCs w:val="17"/>
    </w:rPr>
  </w:style>
  <w:style w:type="paragraph" w:customStyle="1" w:styleId="note">
    <w:name w:val="note"/>
    <w:basedOn w:val="Normal"/>
    <w:pPr>
      <w:spacing w:after="15"/>
    </w:pPr>
    <w:rPr>
      <w:i/>
      <w:iCs/>
      <w:color w:val="333C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79880">
      <w:marLeft w:val="0"/>
      <w:marRight w:val="0"/>
      <w:marTop w:val="3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1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518">
      <w:marLeft w:val="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aksumustafa16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edin.com/in/salesforcewithmak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stafaaksu.de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ustafa.aksu@mustafaaksu.de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alesforce.com/trailblazer/aksumustafa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1718</Words>
  <Characters>9799</Characters>
  <Application>Microsoft Office Word</Application>
  <DocSecurity>4</DocSecurity>
  <Lines>81</Lines>
  <Paragraphs>22</Paragraphs>
  <ScaleCrop>false</ScaleCrop>
  <Company/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Mustafa Aksu — CV</dc:title>
  <dc:subject/>
  <dc:creator>Mustafa Aksu</dc:creator>
  <cp:keywords/>
  <dc:description/>
  <cp:lastModifiedBy>Mustafa Aksu</cp:lastModifiedBy>
  <cp:revision>2</cp:revision>
  <dcterms:created xsi:type="dcterms:W3CDTF">2026-09-21T09:22:00Z</dcterms:created>
  <dcterms:modified xsi:type="dcterms:W3CDTF">2026-09-21T09:22:00Z</dcterms:modified>
</cp:coreProperties>
</file>